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CCF1">
      <w:pPr>
        <w:pStyle w:val="6"/>
        <w:spacing w:before="93"/>
        <w:rPr>
          <w:rFonts w:ascii="Times New Roman" w:eastAsia="方正小标宋简体"/>
          <w:kern w:val="2"/>
          <w:sz w:val="72"/>
          <w:szCs w:val="72"/>
        </w:rPr>
      </w:pPr>
      <w:bookmarkStart w:id="0" w:name="_Toc15396597"/>
      <w:bookmarkStart w:id="1" w:name="_Toc15396475"/>
      <w:bookmarkStart w:id="2" w:name="_Toc15377193"/>
      <w:bookmarkStart w:id="3" w:name="_Toc15306267"/>
      <w:bookmarkStart w:id="4" w:name="_Toc15378441"/>
      <w:bookmarkStart w:id="5" w:name="_Toc15377425"/>
    </w:p>
    <w:p w14:paraId="4189C63F">
      <w:pPr>
        <w:pStyle w:val="6"/>
        <w:spacing w:before="93"/>
        <w:rPr>
          <w:rFonts w:ascii="Times New Roman" w:eastAsia="方正小标宋简体"/>
          <w:kern w:val="2"/>
          <w:sz w:val="72"/>
          <w:szCs w:val="72"/>
        </w:rPr>
      </w:pPr>
    </w:p>
    <w:p w14:paraId="2F3ED3C0">
      <w:pPr>
        <w:pStyle w:val="6"/>
        <w:spacing w:before="93"/>
        <w:rPr>
          <w:rFonts w:ascii="Times New Roman" w:eastAsia="方正小标宋简体"/>
          <w:kern w:val="2"/>
          <w:sz w:val="72"/>
          <w:szCs w:val="72"/>
        </w:rPr>
      </w:pPr>
    </w:p>
    <w:p w14:paraId="7CA45096">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w:t>
      </w:r>
    </w:p>
    <w:p w14:paraId="27A20690">
      <w:pPr>
        <w:pStyle w:val="6"/>
        <w:spacing w:before="93"/>
        <w:jc w:val="center"/>
        <w:rPr>
          <w:rFonts w:ascii="Times New Roman" w:eastAsia="方正小标宋简体"/>
          <w:kern w:val="2"/>
          <w:sz w:val="44"/>
          <w:szCs w:val="44"/>
        </w:rPr>
      </w:pPr>
      <w:r>
        <w:rPr>
          <w:rFonts w:hint="eastAsia" w:ascii="Times New Roman" w:eastAsia="方正小标宋简体"/>
          <w:kern w:val="2"/>
          <w:sz w:val="44"/>
          <w:szCs w:val="44"/>
        </w:rPr>
        <w:t>攀西钒钛检验检测院</w:t>
      </w:r>
    </w:p>
    <w:p w14:paraId="0F668A52">
      <w:pPr>
        <w:adjustRightInd w:val="0"/>
        <w:snapToGrid w:val="0"/>
        <w:spacing w:line="360" w:lineRule="auto"/>
        <w:jc w:val="center"/>
        <w:outlineLvl w:val="0"/>
        <w:rPr>
          <w:rFonts w:ascii="方正小标宋简体" w:hAnsi="方正小标宋简体" w:eastAsia="方正小标宋简体" w:cs="方正小标宋简体"/>
          <w:sz w:val="44"/>
          <w:szCs w:val="44"/>
        </w:rPr>
      </w:pPr>
      <w:bookmarkStart w:id="6" w:name="_Toc10290"/>
      <w:r>
        <w:rPr>
          <w:rFonts w:hint="eastAsia" w:ascii="方正小标宋简体" w:hAnsi="方正小标宋简体" w:eastAsia="方正小标宋简体" w:cs="方正小标宋简体"/>
          <w:sz w:val="44"/>
          <w:szCs w:val="44"/>
        </w:rPr>
        <w:t>单位决算</w:t>
      </w:r>
      <w:bookmarkEnd w:id="6"/>
    </w:p>
    <w:p w14:paraId="190E8D3D">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bookmarkEnd w:id="0"/>
    <w:bookmarkEnd w:id="1"/>
    <w:bookmarkEnd w:id="2"/>
    <w:bookmarkEnd w:id="3"/>
    <w:bookmarkEnd w:id="4"/>
    <w:bookmarkEnd w:id="5"/>
    <w:p w14:paraId="51EC657B">
      <w:pPr>
        <w:widowControl/>
        <w:jc w:val="center"/>
        <w:rPr>
          <w:rFonts w:ascii="黑体" w:hAnsi="黑体" w:eastAsia="黑体"/>
          <w:sz w:val="48"/>
          <w:szCs w:val="48"/>
        </w:rPr>
      </w:pPr>
      <w:bookmarkStart w:id="7" w:name="_Toc15377196"/>
      <w:bookmarkStart w:id="8" w:name="_Toc15396599"/>
      <w:r>
        <w:rPr>
          <w:rFonts w:hint="eastAsia" w:ascii="黑体" w:hAnsi="黑体" w:eastAsia="黑体"/>
          <w:sz w:val="48"/>
          <w:szCs w:val="48"/>
        </w:rPr>
        <w:t>目录</w:t>
      </w:r>
    </w:p>
    <w:p w14:paraId="3245A962">
      <w:pPr>
        <w:widowControl/>
        <w:jc w:val="center"/>
        <w:rPr>
          <w:rFonts w:ascii="黑体" w:hAnsi="黑体" w:eastAsia="黑体"/>
          <w:sz w:val="28"/>
          <w:szCs w:val="28"/>
        </w:rPr>
      </w:pPr>
    </w:p>
    <w:p w14:paraId="1AFEA86D">
      <w:pPr>
        <w:pStyle w:val="13"/>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公开时间：2025年9月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 日</w:t>
      </w:r>
    </w:p>
    <w:p w14:paraId="7F7B4EDC">
      <w:pPr>
        <w:rPr>
          <w:rFonts w:ascii="仿宋_GB2312" w:hAnsi="仿宋_GB2312" w:eastAsia="仿宋_GB2312" w:cs="仿宋_GB2312"/>
          <w:sz w:val="32"/>
          <w:szCs w:val="32"/>
        </w:rPr>
      </w:pPr>
    </w:p>
    <w:p w14:paraId="5D22A568">
      <w:pPr>
        <w:pStyle w:val="13"/>
        <w:outlineLvl w:val="0"/>
        <w:rPr>
          <w:rFonts w:ascii="黑体" w:hAnsi="黑体" w:eastAsia="黑体" w:cs="仿宋_GB2312"/>
          <w:sz w:val="32"/>
          <w:szCs w:val="32"/>
        </w:rPr>
      </w:pPr>
      <w:r>
        <w:rPr>
          <w:rFonts w:hint="eastAsia" w:ascii="黑体" w:hAnsi="黑体" w:eastAsia="黑体" w:cs="仿宋_GB2312"/>
          <w:sz w:val="32"/>
          <w:szCs w:val="32"/>
        </w:rPr>
        <w:t>第一部分 单位概况</w:t>
      </w:r>
      <w:r>
        <w:rPr>
          <w:rFonts w:hint="eastAsia" w:ascii="黑体" w:hAnsi="黑体" w:eastAsia="黑体" w:cs="仿宋_GB2312"/>
          <w:sz w:val="32"/>
          <w:szCs w:val="32"/>
        </w:rPr>
        <w:tab/>
      </w:r>
      <w:r>
        <w:rPr>
          <w:rFonts w:hint="eastAsia" w:ascii="黑体" w:hAnsi="黑体" w:eastAsia="黑体" w:cs="仿宋_GB2312"/>
          <w:sz w:val="32"/>
          <w:szCs w:val="32"/>
        </w:rPr>
        <w:t>4</w:t>
      </w:r>
    </w:p>
    <w:p w14:paraId="7FCED96A">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一、主要职责</w:t>
      </w:r>
      <w:r>
        <w:rPr>
          <w:rFonts w:hint="eastAsia" w:ascii="仿宋" w:hAnsi="仿宋" w:eastAsia="仿宋" w:cs="仿宋_GB2312"/>
          <w:sz w:val="32"/>
          <w:szCs w:val="32"/>
        </w:rPr>
        <w:tab/>
      </w:r>
      <w:r>
        <w:rPr>
          <w:rFonts w:hint="eastAsia" w:ascii="仿宋" w:hAnsi="仿宋" w:eastAsia="仿宋" w:cs="仿宋_GB2312"/>
          <w:sz w:val="32"/>
          <w:szCs w:val="32"/>
        </w:rPr>
        <w:t>4</w:t>
      </w:r>
    </w:p>
    <w:p w14:paraId="63734B52">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二、机构设置</w:t>
      </w:r>
      <w:r>
        <w:rPr>
          <w:rFonts w:hint="eastAsia" w:ascii="仿宋" w:hAnsi="仿宋" w:eastAsia="仿宋" w:cs="仿宋_GB2312"/>
          <w:sz w:val="32"/>
          <w:szCs w:val="32"/>
        </w:rPr>
        <w:tab/>
      </w:r>
      <w:r>
        <w:rPr>
          <w:rFonts w:hint="eastAsia" w:ascii="仿宋" w:hAnsi="仿宋" w:eastAsia="仿宋" w:cs="仿宋_GB2312"/>
          <w:sz w:val="32"/>
          <w:szCs w:val="32"/>
        </w:rPr>
        <w:t>5</w:t>
      </w:r>
    </w:p>
    <w:p w14:paraId="0BDE82A6">
      <w:pPr>
        <w:pStyle w:val="13"/>
        <w:rPr>
          <w:rFonts w:ascii="黑体" w:hAnsi="黑体" w:eastAsia="黑体" w:cs="仿宋_GB2312"/>
          <w:sz w:val="32"/>
          <w:szCs w:val="32"/>
        </w:rPr>
      </w:pPr>
      <w:r>
        <w:rPr>
          <w:rFonts w:hint="eastAsia" w:ascii="黑体" w:hAnsi="黑体" w:eastAsia="黑体" w:cs="仿宋_GB2312"/>
          <w:sz w:val="32"/>
          <w:szCs w:val="32"/>
        </w:rPr>
        <w:t>第二部分 2024年度单位决算情况说明</w:t>
      </w:r>
      <w:r>
        <w:rPr>
          <w:rFonts w:hint="eastAsia" w:ascii="黑体" w:hAnsi="黑体" w:eastAsia="黑体" w:cs="仿宋_GB2312"/>
          <w:sz w:val="32"/>
          <w:szCs w:val="32"/>
        </w:rPr>
        <w:tab/>
      </w:r>
      <w:r>
        <w:rPr>
          <w:rFonts w:hint="eastAsia" w:ascii="黑体" w:hAnsi="黑体" w:eastAsia="黑体" w:cs="仿宋_GB2312"/>
          <w:sz w:val="32"/>
          <w:szCs w:val="32"/>
        </w:rPr>
        <w:t>6</w:t>
      </w:r>
    </w:p>
    <w:p w14:paraId="2FFFE385">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一、收入支出决算总体情况说明</w:t>
      </w:r>
      <w:r>
        <w:rPr>
          <w:rFonts w:hint="eastAsia" w:ascii="仿宋" w:hAnsi="仿宋" w:eastAsia="仿宋" w:cs="仿宋_GB2312"/>
          <w:sz w:val="32"/>
          <w:szCs w:val="32"/>
        </w:rPr>
        <w:tab/>
      </w:r>
      <w:r>
        <w:rPr>
          <w:rFonts w:hint="eastAsia" w:ascii="仿宋" w:hAnsi="仿宋" w:eastAsia="仿宋" w:cs="仿宋_GB2312"/>
          <w:sz w:val="32"/>
          <w:szCs w:val="32"/>
        </w:rPr>
        <w:t>6</w:t>
      </w:r>
    </w:p>
    <w:p w14:paraId="6EA4DBF8">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二、收入决算情况说明</w:t>
      </w:r>
      <w:r>
        <w:rPr>
          <w:rFonts w:hint="eastAsia" w:ascii="仿宋" w:hAnsi="仿宋" w:eastAsia="仿宋" w:cs="仿宋_GB2312"/>
          <w:sz w:val="32"/>
          <w:szCs w:val="32"/>
        </w:rPr>
        <w:tab/>
      </w:r>
      <w:r>
        <w:rPr>
          <w:rFonts w:hint="eastAsia" w:ascii="仿宋" w:hAnsi="仿宋" w:eastAsia="仿宋" w:cs="仿宋_GB2312"/>
          <w:sz w:val="32"/>
          <w:szCs w:val="32"/>
        </w:rPr>
        <w:t>6</w:t>
      </w:r>
    </w:p>
    <w:p w14:paraId="568F296C">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三、支出决算情况说明</w:t>
      </w:r>
      <w:r>
        <w:rPr>
          <w:rFonts w:hint="eastAsia" w:ascii="仿宋" w:hAnsi="仿宋" w:eastAsia="仿宋" w:cs="仿宋_GB2312"/>
          <w:sz w:val="32"/>
          <w:szCs w:val="32"/>
        </w:rPr>
        <w:tab/>
      </w:r>
      <w:r>
        <w:rPr>
          <w:rFonts w:hint="eastAsia" w:ascii="仿宋" w:hAnsi="仿宋" w:eastAsia="仿宋" w:cs="仿宋_GB2312"/>
          <w:sz w:val="32"/>
          <w:szCs w:val="32"/>
        </w:rPr>
        <w:t>7</w:t>
      </w:r>
    </w:p>
    <w:p w14:paraId="2E4136A3">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四、财政拨款收入支出决算总体情况说明</w:t>
      </w:r>
      <w:r>
        <w:rPr>
          <w:rFonts w:hint="eastAsia" w:ascii="仿宋" w:hAnsi="仿宋" w:eastAsia="仿宋" w:cs="仿宋_GB2312"/>
          <w:sz w:val="32"/>
          <w:szCs w:val="32"/>
        </w:rPr>
        <w:tab/>
      </w:r>
      <w:r>
        <w:rPr>
          <w:rFonts w:hint="eastAsia" w:ascii="仿宋" w:hAnsi="仿宋" w:eastAsia="仿宋" w:cs="仿宋_GB2312"/>
          <w:sz w:val="32"/>
          <w:szCs w:val="32"/>
        </w:rPr>
        <w:t>7</w:t>
      </w:r>
    </w:p>
    <w:p w14:paraId="2E39ED8D">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五、一般公共预算财政拨款支出决算情况说明</w:t>
      </w:r>
      <w:r>
        <w:rPr>
          <w:rFonts w:hint="eastAsia" w:ascii="仿宋" w:hAnsi="仿宋" w:eastAsia="仿宋" w:cs="仿宋_GB2312"/>
          <w:sz w:val="32"/>
          <w:szCs w:val="32"/>
        </w:rPr>
        <w:tab/>
      </w:r>
      <w:r>
        <w:rPr>
          <w:rFonts w:hint="eastAsia" w:ascii="仿宋" w:hAnsi="仿宋" w:eastAsia="仿宋" w:cs="仿宋_GB2312"/>
          <w:sz w:val="32"/>
          <w:szCs w:val="32"/>
        </w:rPr>
        <w:t>8</w:t>
      </w:r>
    </w:p>
    <w:p w14:paraId="089ACC91">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六、一般公共预算财政拨款基本支出决算情况说明</w:t>
      </w:r>
      <w:r>
        <w:rPr>
          <w:rFonts w:hint="eastAsia" w:ascii="仿宋" w:hAnsi="仿宋" w:eastAsia="仿宋" w:cs="仿宋_GB2312"/>
          <w:sz w:val="32"/>
          <w:szCs w:val="32"/>
        </w:rPr>
        <w:tab/>
      </w:r>
      <w:r>
        <w:rPr>
          <w:rFonts w:hint="eastAsia" w:ascii="仿宋" w:hAnsi="仿宋" w:eastAsia="仿宋" w:cs="仿宋_GB2312"/>
          <w:sz w:val="32"/>
          <w:szCs w:val="32"/>
        </w:rPr>
        <w:t>10</w:t>
      </w:r>
    </w:p>
    <w:p w14:paraId="77D68929">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七、财政拨款“三公”经费支出决算情况说明</w:t>
      </w:r>
      <w:r>
        <w:rPr>
          <w:rFonts w:hint="eastAsia" w:ascii="仿宋" w:hAnsi="仿宋" w:eastAsia="仿宋" w:cs="仿宋_GB2312"/>
          <w:sz w:val="32"/>
          <w:szCs w:val="32"/>
        </w:rPr>
        <w:tab/>
      </w:r>
      <w:r>
        <w:rPr>
          <w:rFonts w:hint="eastAsia" w:ascii="仿宋" w:hAnsi="仿宋" w:eastAsia="仿宋" w:cs="仿宋_GB2312"/>
          <w:sz w:val="32"/>
          <w:szCs w:val="32"/>
        </w:rPr>
        <w:t>10</w:t>
      </w:r>
    </w:p>
    <w:p w14:paraId="346B6F71">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八、政府性基金预算支出决算情况说明</w:t>
      </w:r>
      <w:r>
        <w:rPr>
          <w:rFonts w:hint="eastAsia" w:ascii="仿宋" w:hAnsi="仿宋" w:eastAsia="仿宋" w:cs="仿宋_GB2312"/>
          <w:sz w:val="32"/>
          <w:szCs w:val="32"/>
        </w:rPr>
        <w:tab/>
      </w:r>
      <w:r>
        <w:rPr>
          <w:rFonts w:hint="eastAsia" w:ascii="仿宋" w:hAnsi="仿宋" w:eastAsia="仿宋" w:cs="仿宋_GB2312"/>
          <w:sz w:val="32"/>
          <w:szCs w:val="32"/>
        </w:rPr>
        <w:t>11</w:t>
      </w:r>
    </w:p>
    <w:p w14:paraId="5374C52C">
      <w:pPr>
        <w:pStyle w:val="15"/>
        <w:adjustRightInd w:val="0"/>
        <w:snapToGrid w:val="0"/>
        <w:spacing w:line="440" w:lineRule="exact"/>
        <w:ind w:firstLine="480"/>
        <w:jc w:val="left"/>
        <w:rPr>
          <w:rFonts w:hint="eastAsia" w:ascii="仿宋" w:hAnsi="仿宋" w:eastAsia="仿宋" w:cs="仿宋_GB2312"/>
          <w:sz w:val="32"/>
          <w:szCs w:val="32"/>
          <w:lang w:eastAsia="zh-CN"/>
        </w:rPr>
      </w:pPr>
      <w:r>
        <w:rPr>
          <w:rFonts w:hint="eastAsia" w:ascii="仿宋" w:hAnsi="仿宋" w:eastAsia="仿宋" w:cs="仿宋_GB2312"/>
          <w:sz w:val="32"/>
          <w:szCs w:val="32"/>
        </w:rPr>
        <w:t>九、国有资本经营预算支出决算情况说明</w:t>
      </w:r>
      <w:r>
        <w:rPr>
          <w:rFonts w:hint="eastAsia" w:ascii="仿宋" w:hAnsi="仿宋" w:eastAsia="仿宋" w:cs="仿宋_GB2312"/>
          <w:sz w:val="32"/>
          <w:szCs w:val="32"/>
        </w:rPr>
        <w:tab/>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1</w:t>
      </w:r>
    </w:p>
    <w:p w14:paraId="4B3B6FB3">
      <w:pPr>
        <w:pStyle w:val="15"/>
        <w:adjustRightInd w:val="0"/>
        <w:snapToGrid w:val="0"/>
        <w:spacing w:line="440" w:lineRule="exact"/>
        <w:ind w:firstLine="480"/>
        <w:jc w:val="left"/>
        <w:rPr>
          <w:rFonts w:hint="eastAsia" w:ascii="仿宋" w:hAnsi="仿宋" w:eastAsia="仿宋" w:cs="仿宋_GB2312"/>
          <w:sz w:val="32"/>
          <w:szCs w:val="32"/>
          <w:lang w:eastAsia="zh-CN"/>
        </w:rPr>
      </w:pPr>
      <w:r>
        <w:rPr>
          <w:rFonts w:hint="eastAsia" w:ascii="仿宋" w:hAnsi="仿宋" w:eastAsia="仿宋" w:cs="仿宋_GB2312"/>
          <w:sz w:val="32"/>
          <w:szCs w:val="32"/>
        </w:rPr>
        <w:t>十、其他重要事项的情况说明</w:t>
      </w:r>
      <w:r>
        <w:rPr>
          <w:rFonts w:hint="eastAsia" w:ascii="仿宋" w:hAnsi="仿宋" w:eastAsia="仿宋" w:cs="仿宋_GB2312"/>
          <w:sz w:val="32"/>
          <w:szCs w:val="32"/>
        </w:rPr>
        <w:tab/>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1</w:t>
      </w:r>
    </w:p>
    <w:p w14:paraId="04D4E832">
      <w:pPr>
        <w:pStyle w:val="13"/>
        <w:adjustRightInd w:val="0"/>
        <w:snapToGrid w:val="0"/>
        <w:spacing w:before="0" w:line="440" w:lineRule="exact"/>
        <w:jc w:val="left"/>
        <w:rPr>
          <w:rFonts w:ascii="黑体" w:hAnsi="黑体" w:eastAsia="黑体" w:cs="仿宋_GB2312"/>
          <w:sz w:val="32"/>
          <w:szCs w:val="32"/>
        </w:rPr>
      </w:pPr>
      <w:r>
        <w:rPr>
          <w:rFonts w:hint="eastAsia" w:ascii="黑体" w:hAnsi="黑体" w:eastAsia="黑体" w:cs="仿宋_GB2312"/>
          <w:sz w:val="32"/>
          <w:szCs w:val="32"/>
        </w:rPr>
        <w:t>第三部分 名词解释</w:t>
      </w:r>
      <w:r>
        <w:rPr>
          <w:rFonts w:hint="eastAsia" w:ascii="黑体" w:hAnsi="黑体" w:eastAsia="黑体" w:cs="仿宋_GB2312"/>
          <w:sz w:val="32"/>
          <w:szCs w:val="32"/>
        </w:rPr>
        <w:tab/>
      </w:r>
      <w:r>
        <w:rPr>
          <w:rFonts w:hint="eastAsia" w:ascii="黑体" w:hAnsi="黑体" w:eastAsia="黑体" w:cs="仿宋_GB2312"/>
          <w:sz w:val="32"/>
          <w:szCs w:val="32"/>
        </w:rPr>
        <w:t>14</w:t>
      </w:r>
    </w:p>
    <w:p w14:paraId="4CC64C80">
      <w:pPr>
        <w:pStyle w:val="13"/>
        <w:adjustRightInd w:val="0"/>
        <w:snapToGrid w:val="0"/>
        <w:spacing w:before="0" w:line="440" w:lineRule="exact"/>
        <w:jc w:val="left"/>
        <w:rPr>
          <w:rFonts w:ascii="黑体" w:hAnsi="黑体" w:eastAsia="黑体" w:cs="仿宋_GB2312"/>
          <w:sz w:val="32"/>
          <w:szCs w:val="32"/>
        </w:rPr>
      </w:pPr>
      <w:r>
        <w:rPr>
          <w:rFonts w:hint="eastAsia" w:ascii="黑体" w:hAnsi="黑体" w:eastAsia="黑体" w:cs="仿宋_GB2312"/>
          <w:sz w:val="32"/>
          <w:szCs w:val="32"/>
        </w:rPr>
        <w:t>第四部分 附件</w:t>
      </w:r>
      <w:r>
        <w:rPr>
          <w:rFonts w:hint="eastAsia" w:ascii="黑体" w:hAnsi="黑体" w:eastAsia="黑体" w:cs="仿宋_GB2312"/>
          <w:sz w:val="32"/>
          <w:szCs w:val="32"/>
        </w:rPr>
        <w:tab/>
      </w:r>
      <w:r>
        <w:rPr>
          <w:rFonts w:hint="eastAsia" w:ascii="黑体" w:hAnsi="黑体" w:eastAsia="黑体" w:cs="仿宋_GB2312"/>
          <w:sz w:val="32"/>
          <w:szCs w:val="32"/>
        </w:rPr>
        <w:t>16</w:t>
      </w:r>
    </w:p>
    <w:p w14:paraId="1FC18CAE">
      <w:pPr>
        <w:pStyle w:val="13"/>
        <w:adjustRightInd w:val="0"/>
        <w:snapToGrid w:val="0"/>
        <w:spacing w:before="0" w:line="440" w:lineRule="exact"/>
        <w:jc w:val="left"/>
        <w:rPr>
          <w:rFonts w:ascii="黑体" w:hAnsi="黑体" w:eastAsia="黑体" w:cs="仿宋_GB2312"/>
          <w:sz w:val="32"/>
          <w:szCs w:val="32"/>
        </w:rPr>
      </w:pPr>
      <w:r>
        <w:rPr>
          <w:rFonts w:hint="eastAsia" w:ascii="黑体" w:hAnsi="黑体" w:eastAsia="黑体" w:cs="仿宋_GB2312"/>
          <w:sz w:val="32"/>
          <w:szCs w:val="32"/>
        </w:rPr>
        <w:t>第五部分 附表</w:t>
      </w:r>
      <w:r>
        <w:rPr>
          <w:rFonts w:hint="eastAsia" w:ascii="黑体" w:hAnsi="黑体" w:eastAsia="黑体" w:cs="仿宋_GB2312"/>
          <w:sz w:val="32"/>
          <w:szCs w:val="32"/>
        </w:rPr>
        <w:tab/>
      </w:r>
      <w:r>
        <w:rPr>
          <w:rFonts w:hint="eastAsia" w:ascii="黑体" w:hAnsi="黑体" w:eastAsia="黑体" w:cs="仿宋_GB2312"/>
          <w:sz w:val="32"/>
          <w:szCs w:val="32"/>
        </w:rPr>
        <w:t>17</w:t>
      </w:r>
    </w:p>
    <w:p w14:paraId="301B422C">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hint="eastAsia" w:ascii="仿宋" w:hAnsi="仿宋" w:eastAsia="仿宋" w:cs="仿宋_GB2312"/>
          <w:sz w:val="32"/>
          <w:szCs w:val="32"/>
        </w:rPr>
        <w:tab/>
      </w:r>
      <w:r>
        <w:rPr>
          <w:rFonts w:hint="eastAsia" w:ascii="仿宋" w:hAnsi="仿宋" w:eastAsia="仿宋" w:cs="仿宋_GB2312"/>
          <w:sz w:val="32"/>
          <w:szCs w:val="32"/>
        </w:rPr>
        <w:t>17</w:t>
      </w:r>
    </w:p>
    <w:p w14:paraId="3E14D4CC">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3A55828A">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三、支出决算表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60719ECB">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hint="eastAsia" w:ascii="仿宋" w:hAnsi="仿宋" w:eastAsia="仿宋" w:cs="仿宋_GB2312"/>
          <w:sz w:val="32"/>
          <w:szCs w:val="32"/>
        </w:rPr>
        <w:tab/>
      </w:r>
      <w:r>
        <w:rPr>
          <w:rFonts w:hint="eastAsia" w:ascii="仿宋" w:hAnsi="仿宋" w:eastAsia="仿宋" w:cs="仿宋_GB2312"/>
          <w:sz w:val="32"/>
          <w:szCs w:val="32"/>
        </w:rPr>
        <w:t>17</w:t>
      </w:r>
    </w:p>
    <w:p w14:paraId="1295EDCE">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五、财政拨款支出决算明细表</w:t>
      </w:r>
      <w:r>
        <w:rPr>
          <w:rFonts w:hint="eastAsia" w:ascii="仿宋" w:hAnsi="仿宋" w:eastAsia="仿宋" w:cs="仿宋_GB2312"/>
          <w:sz w:val="32"/>
          <w:szCs w:val="32"/>
        </w:rPr>
        <w:tab/>
      </w:r>
      <w:r>
        <w:rPr>
          <w:rFonts w:hint="eastAsia" w:ascii="仿宋" w:hAnsi="仿宋" w:eastAsia="仿宋" w:cs="仿宋_GB2312"/>
          <w:sz w:val="32"/>
          <w:szCs w:val="32"/>
        </w:rPr>
        <w:t>17</w:t>
      </w:r>
    </w:p>
    <w:p w14:paraId="06162216">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六、一般公共预算财政拨款支出决算表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41187147">
      <w:pPr>
        <w:widowControl/>
        <w:rPr>
          <w:rFonts w:ascii="仿宋" w:hAnsi="仿宋" w:eastAsia="仿宋" w:cs="仿宋_GB2312"/>
          <w:sz w:val="32"/>
          <w:szCs w:val="32"/>
        </w:rPr>
      </w:pPr>
    </w:p>
    <w:p w14:paraId="5A8080DF">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七、一般公共预算财政拨款支出决算明细表</w:t>
      </w:r>
      <w:r>
        <w:rPr>
          <w:rFonts w:hint="eastAsia" w:ascii="仿宋" w:hAnsi="仿宋" w:eastAsia="仿宋" w:cs="仿宋_GB2312"/>
          <w:sz w:val="32"/>
          <w:szCs w:val="32"/>
        </w:rPr>
        <w:tab/>
      </w:r>
      <w:r>
        <w:rPr>
          <w:rFonts w:hint="eastAsia" w:ascii="仿宋" w:hAnsi="仿宋" w:eastAsia="仿宋" w:cs="仿宋_GB2312"/>
          <w:sz w:val="32"/>
          <w:szCs w:val="32"/>
        </w:rPr>
        <w:t>17</w:t>
      </w:r>
    </w:p>
    <w:p w14:paraId="2B99B0EB">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八、一般公共预算财政拨款基本支出决算明细表</w:t>
      </w:r>
      <w:r>
        <w:rPr>
          <w:rFonts w:hint="eastAsia" w:ascii="仿宋" w:hAnsi="仿宋" w:eastAsia="仿宋" w:cs="仿宋_GB2312"/>
          <w:sz w:val="32"/>
          <w:szCs w:val="32"/>
        </w:rPr>
        <w:tab/>
      </w:r>
      <w:r>
        <w:rPr>
          <w:rFonts w:hint="eastAsia" w:ascii="仿宋" w:hAnsi="仿宋" w:eastAsia="仿宋" w:cs="仿宋_GB2312"/>
          <w:sz w:val="32"/>
          <w:szCs w:val="32"/>
        </w:rPr>
        <w:t>17</w:t>
      </w:r>
    </w:p>
    <w:p w14:paraId="7229A51C">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九、一般公共预算财政拨款项目支出决算表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40A5FE8A">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十、政府性基金预算财政拨款收入支出决算表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6BB59283">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十一、国有资本经营预算财政拨款收入支出决算表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7A75DF05">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十二、国有资本经营预算财政拨款支出决算表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2B82077B">
      <w:pPr>
        <w:pStyle w:val="15"/>
        <w:adjustRightInd w:val="0"/>
        <w:snapToGrid w:val="0"/>
        <w:spacing w:line="440" w:lineRule="exact"/>
        <w:ind w:firstLine="480"/>
        <w:jc w:val="left"/>
        <w:rPr>
          <w:rFonts w:ascii="仿宋" w:hAnsi="仿宋" w:eastAsia="仿宋" w:cs="仿宋_GB2312"/>
          <w:sz w:val="32"/>
          <w:szCs w:val="32"/>
        </w:rPr>
      </w:pPr>
      <w:r>
        <w:rPr>
          <w:rFonts w:hint="eastAsia" w:ascii="仿宋" w:hAnsi="仿宋" w:eastAsia="仿宋" w:cs="仿宋_GB2312"/>
          <w:sz w:val="32"/>
          <w:szCs w:val="32"/>
        </w:rPr>
        <w:t>十三、财政拨款“三公”经费支出决算表</w:t>
      </w:r>
      <w:r>
        <w:rPr>
          <w:rFonts w:hint="eastAsia" w:ascii="仿宋" w:hAnsi="仿宋" w:eastAsia="仿宋" w:cs="仿宋_GB2312"/>
          <w:sz w:val="32"/>
          <w:szCs w:val="32"/>
        </w:rPr>
        <w:tab/>
      </w:r>
      <w:r>
        <w:rPr>
          <w:rFonts w:hint="eastAsia" w:ascii="仿宋" w:hAnsi="仿宋" w:eastAsia="仿宋" w:cs="仿宋_GB2312"/>
          <w:sz w:val="32"/>
          <w:szCs w:val="32"/>
        </w:rPr>
        <w:t>17</w:t>
      </w:r>
    </w:p>
    <w:p w14:paraId="595E839C">
      <w:pPr>
        <w:rPr>
          <w:rFonts w:ascii="仿宋_GB2312" w:hAnsi="仿宋_GB2312" w:eastAsia="仿宋_GB2312" w:cs="仿宋_GB2312"/>
          <w:bCs/>
          <w:kern w:val="44"/>
          <w:sz w:val="28"/>
          <w:szCs w:val="28"/>
        </w:rPr>
      </w:pPr>
      <w:r>
        <w:rPr>
          <w:rFonts w:hint="eastAsia" w:ascii="仿宋_GB2312" w:hAnsi="仿宋_GB2312" w:eastAsia="仿宋_GB2312" w:cs="仿宋_GB2312"/>
          <w:sz w:val="28"/>
          <w:szCs w:val="28"/>
        </w:rPr>
        <w:br w:type="page"/>
      </w:r>
    </w:p>
    <w:p w14:paraId="7A392EEB">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7"/>
      <w:bookmarkEnd w:id="8"/>
    </w:p>
    <w:p w14:paraId="23F86579">
      <w:pPr>
        <w:pStyle w:val="4"/>
        <w:ind w:firstLine="640" w:firstLineChars="200"/>
        <w:rPr>
          <w:rFonts w:ascii="Times New Roman" w:hAnsi="Times New Roman" w:eastAsia="黑体"/>
          <w:b w:val="0"/>
        </w:rPr>
      </w:pPr>
      <w:r>
        <w:rPr>
          <w:rFonts w:hint="eastAsia" w:ascii="Times New Roman" w:hAnsi="Times New Roman" w:eastAsia="黑体"/>
          <w:b w:val="0"/>
        </w:rPr>
        <w:t>一、部门职责</w:t>
      </w:r>
    </w:p>
    <w:p w14:paraId="258764F4">
      <w:pPr>
        <w:spacing w:line="32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攀西院主要职责：承担钒钛制品、工业产（商）品等质量安全监督检验，受理第三方申请的委托检验和仲裁检验；提供社会公正计量服务；承担特种设备安全检验检测及咨询服务；承担2个标委会（全国钒钛磁铁矿综合利用标准化技术委员会（SAC/TC579）、中国材料与试验标准化委员会钒钛综合利用标准化领域委员会（CSTM/FC20））秘书处日常工作，组织和制（修）订相关标准；组织钒钛领域学术交流、标准宣贯，开展钒钛领域检测方法研究和仪器设备研发；负责研究建立、保存社会公用计量标准，进行量值传递，执行强制和法律规定的其他检定测试任务，为实施计量监督提供技术保证，承办有关法制计量工作；承担能效测试、计量仲裁检定工作。承担全市药品、医疗器械、药品包装材料、消费环节食品、保健食品、化妆品等相关的检验检测工作；承担全市药品不良反应检测和药物质量研究工作。开展钒钛钢铁领域招商引资、项目建设推进等工作；组织、参与钒钛钢铁领域重大商贸活动。</w:t>
      </w:r>
    </w:p>
    <w:p w14:paraId="4D8BCC9E"/>
    <w:p w14:paraId="797C24D1">
      <w:pPr>
        <w:pStyle w:val="4"/>
        <w:ind w:firstLine="640" w:firstLineChars="200"/>
        <w:rPr>
          <w:rStyle w:val="29"/>
          <w:rFonts w:ascii="Times New Roman" w:hAnsi="Times New Roman"/>
          <w:b w:val="0"/>
          <w:bCs w:val="0"/>
        </w:rPr>
      </w:pPr>
      <w:bookmarkStart w:id="9" w:name="_Toc15396601"/>
      <w:bookmarkStart w:id="10"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9"/>
      <w:bookmarkEnd w:id="10"/>
    </w:p>
    <w:p w14:paraId="08E98177">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四川省攀枝花市攀西钒钛检验检测院</w:t>
      </w:r>
      <w:r>
        <w:rPr>
          <w:rFonts w:hint="eastAsia" w:eastAsia="仿宋_GB2312" w:cs="仿宋_GB2312"/>
          <w:sz w:val="32"/>
          <w:szCs w:val="32"/>
        </w:rPr>
        <w:t>无二级预算单位。</w:t>
      </w:r>
      <w:r>
        <w:rPr>
          <w:rFonts w:hint="eastAsia" w:ascii="仿宋_GB2312" w:hAnsi="仿宋_GB2312" w:eastAsia="仿宋_GB2312" w:cs="仿宋_GB2312"/>
          <w:sz w:val="32"/>
          <w:szCs w:val="32"/>
        </w:rPr>
        <w:t>攀西院由原市食品药品检验所、市计量测试研究所、市产品质量监督检验所、市特种设备监督检验所于2019年8月正式整合组建，为市市场监督管理局所属副县级公益二类事业单位，是目前攀西地区最大的、攀枝花市唯一的综合性检验检测机构，为保障我市“四大安全”、民生计量服务等提供了强有力的专业技术支撑。内设部门11个（</w:t>
      </w:r>
      <w:r>
        <w:rPr>
          <w:rFonts w:hint="eastAsia" w:ascii="仿宋_GB2312" w:hAnsi="仿宋_GB2312" w:eastAsia="仿宋_GB2312" w:cs="仿宋_GB2312"/>
          <w:color w:val="000000"/>
          <w:kern w:val="0"/>
          <w:sz w:val="32"/>
          <w:szCs w:val="32"/>
          <w:lang w:bidi="ar"/>
        </w:rPr>
        <w:t>办公室、人力资源部、财务部、科学技术部、质量部、项目开发部、质检事务部、计量事务部、 特检事务部、药品事务部、党委办公室</w:t>
      </w:r>
      <w:r>
        <w:rPr>
          <w:rFonts w:hint="eastAsia" w:ascii="仿宋_GB2312" w:hAnsi="仿宋_GB2312" w:eastAsia="仿宋_GB2312" w:cs="仿宋_GB2312"/>
          <w:sz w:val="32"/>
          <w:szCs w:val="32"/>
        </w:rPr>
        <w:t>），核定编制145人。</w:t>
      </w:r>
    </w:p>
    <w:p w14:paraId="7BF17061">
      <w:r>
        <w:rPr>
          <w:rFonts w:eastAsia="仿宋"/>
          <w:sz w:val="32"/>
          <w:szCs w:val="32"/>
        </w:rPr>
        <w:br w:type="page"/>
      </w:r>
    </w:p>
    <w:p w14:paraId="59A8D614">
      <w:pPr>
        <w:pStyle w:val="3"/>
        <w:jc w:val="center"/>
        <w:rPr>
          <w:rFonts w:eastAsia="方正小标宋简体" w:cs="方正小标宋简体"/>
          <w:b w:val="0"/>
        </w:rPr>
      </w:pPr>
      <w:bookmarkStart w:id="11" w:name="_Toc15377204"/>
      <w:bookmarkStart w:id="12" w:name="_Toc15396602"/>
      <w:r>
        <w:rPr>
          <w:rFonts w:hint="eastAsia" w:eastAsia="方正小标宋简体" w:cs="方正小标宋简体"/>
          <w:b w:val="0"/>
        </w:rPr>
        <w:t>第二部分  2024年度部门决算情况说明</w:t>
      </w:r>
      <w:bookmarkEnd w:id="11"/>
      <w:bookmarkEnd w:id="12"/>
    </w:p>
    <w:p w14:paraId="1B8205DA">
      <w:pPr>
        <w:pStyle w:val="27"/>
        <w:spacing w:line="600" w:lineRule="exact"/>
        <w:ind w:firstLine="640"/>
        <w:outlineLvl w:val="1"/>
        <w:rPr>
          <w:rStyle w:val="29"/>
          <w:rFonts w:ascii="Times New Roman" w:hAnsi="Times New Roman" w:eastAsia="黑体"/>
          <w:b w:val="0"/>
        </w:rPr>
      </w:pPr>
      <w:bookmarkStart w:id="13" w:name="_Toc15377205"/>
      <w:bookmarkStart w:id="14"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3"/>
      <w:bookmarkEnd w:id="14"/>
    </w:p>
    <w:p w14:paraId="35EF6935">
      <w:pPr>
        <w:pStyle w:val="27"/>
        <w:spacing w:line="600" w:lineRule="exact"/>
        <w:ind w:firstLine="64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2024年度收入、支出总计均为9539.65万元。与2023年度相比，收入、支出总计各增加3754.49万元，增长39%。主要变动原因是增加政府专项债收入支出。</w:t>
      </w:r>
    </w:p>
    <w:p w14:paraId="6D39BA91">
      <w:pPr>
        <w:ind w:firstLine="640" w:firstLineChars="200"/>
        <w:rPr>
          <w:rFonts w:eastAsia="仿宋_GB2312" w:cs="仿宋_GB2312"/>
          <w:sz w:val="32"/>
          <w:szCs w:val="32"/>
        </w:rPr>
      </w:pPr>
      <w:r>
        <w:rPr>
          <w:rFonts w:ascii="仿宋_GB2312" w:hAnsi="宋体" w:eastAsia="仿宋_GB2312" w:cs="仿宋_GB2312"/>
          <w:kern w:val="0"/>
          <w:sz w:val="32"/>
          <w:szCs w:val="32"/>
        </w:rPr>
        <w:drawing>
          <wp:anchor distT="0" distB="0" distL="0" distR="0" simplePos="0" relativeHeight="251659264" behindDoc="0" locked="0" layoutInCell="1" allowOverlap="1">
            <wp:simplePos x="0" y="0"/>
            <wp:positionH relativeFrom="column">
              <wp:posOffset>-200025</wp:posOffset>
            </wp:positionH>
            <wp:positionV relativeFrom="paragraph">
              <wp:posOffset>59055</wp:posOffset>
            </wp:positionV>
            <wp:extent cx="5499735" cy="1790700"/>
            <wp:effectExtent l="0" t="0" r="0" b="0"/>
            <wp:wrapTopAndBottom/>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（图1：收入、支出决算总计变动情况图）（柱状图）</w:t>
      </w:r>
    </w:p>
    <w:p w14:paraId="2B88E48E">
      <w:pPr>
        <w:pStyle w:val="27"/>
        <w:spacing w:line="600" w:lineRule="exact"/>
        <w:ind w:firstLine="640"/>
        <w:outlineLvl w:val="1"/>
        <w:rPr>
          <w:rFonts w:eastAsia="黑体"/>
          <w:sz w:val="32"/>
          <w:szCs w:val="32"/>
        </w:rPr>
      </w:pPr>
      <w:bookmarkStart w:id="15" w:name="_Toc15377206"/>
      <w:bookmarkStart w:id="16" w:name="_Toc15396604"/>
      <w:r>
        <w:rPr>
          <w:rFonts w:hint="eastAsia" w:eastAsia="黑体"/>
          <w:sz w:val="32"/>
          <w:szCs w:val="32"/>
        </w:rPr>
        <w:t>二、收入决算情况说明</w:t>
      </w:r>
      <w:bookmarkEnd w:id="15"/>
      <w:bookmarkEnd w:id="16"/>
    </w:p>
    <w:p w14:paraId="08AC1C4E">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2024年度本年收入合计9539.65万元，其中：一般公共预算财政拨款收入2497.6万元，占26.18%；政府性基金预算财政拨款收入5005.88万元，占52.47%；经营收入1916.17万元，占20.08%；其他收入120万元，占1.25%。</w:t>
      </w:r>
    </w:p>
    <w:p w14:paraId="0C59A85A">
      <w:pPr>
        <w:ind w:firstLine="803" w:firstLineChars="250"/>
        <w:rPr>
          <w:rFonts w:ascii="仿宋_GB2312" w:hAnsi="仿宋_GB2312" w:eastAsia="仿宋_GB2312" w:cs="仿宋_GB2312"/>
          <w:sz w:val="32"/>
          <w:szCs w:val="32"/>
        </w:rPr>
      </w:pPr>
      <w:r>
        <w:rPr>
          <w:rFonts w:hint="eastAsia" w:ascii="仿宋_GB2312" w:hAnsi="仿宋_GB2312" w:eastAsia="仿宋_GB2312" w:cs="仿宋_GB2312"/>
          <w:b/>
          <w:sz w:val="32"/>
          <w:szCs w:val="32"/>
        </w:rPr>
        <w:drawing>
          <wp:anchor distT="0" distB="0" distL="0" distR="0" simplePos="0" relativeHeight="251660288" behindDoc="0" locked="0" layoutInCell="1" allowOverlap="1">
            <wp:simplePos x="0" y="0"/>
            <wp:positionH relativeFrom="column">
              <wp:posOffset>-9525</wp:posOffset>
            </wp:positionH>
            <wp:positionV relativeFrom="paragraph">
              <wp:posOffset>397510</wp:posOffset>
            </wp:positionV>
            <wp:extent cx="5117465" cy="1893570"/>
            <wp:effectExtent l="0" t="0" r="0" b="0"/>
            <wp:wrapTopAndBottom/>
            <wp:docPr id="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sz w:val="32"/>
          <w:szCs w:val="32"/>
        </w:rPr>
        <w:t>（图2：收入决算结构图）（饼状图）</w:t>
      </w:r>
    </w:p>
    <w:p w14:paraId="104EA62A">
      <w:pPr>
        <w:ind w:firstLine="800" w:firstLineChars="250"/>
        <w:rPr>
          <w:rFonts w:eastAsia="仿宋_GB2312" w:cs="仿宋_GB2312"/>
          <w:sz w:val="32"/>
          <w:szCs w:val="32"/>
        </w:rPr>
      </w:pPr>
    </w:p>
    <w:p w14:paraId="1492182E">
      <w:pPr>
        <w:pStyle w:val="27"/>
        <w:spacing w:line="600" w:lineRule="exact"/>
        <w:ind w:firstLine="640"/>
        <w:outlineLvl w:val="1"/>
        <w:rPr>
          <w:rStyle w:val="29"/>
          <w:rFonts w:ascii="Times New Roman" w:hAnsi="Times New Roman" w:eastAsia="黑体"/>
          <w:b w:val="0"/>
        </w:rPr>
      </w:pPr>
      <w:bookmarkStart w:id="17" w:name="_Toc15396605"/>
      <w:bookmarkStart w:id="18" w:name="_Toc15377207"/>
      <w:r>
        <w:rPr>
          <w:rFonts w:hint="eastAsia" w:eastAsia="黑体"/>
          <w:sz w:val="32"/>
          <w:szCs w:val="32"/>
        </w:rPr>
        <w:t>三、支</w:t>
      </w:r>
      <w:r>
        <w:rPr>
          <w:rStyle w:val="29"/>
          <w:rFonts w:hint="eastAsia" w:ascii="Times New Roman" w:hAnsi="Times New Roman" w:eastAsia="黑体"/>
          <w:b w:val="0"/>
        </w:rPr>
        <w:t>出决算情况说明</w:t>
      </w:r>
      <w:bookmarkEnd w:id="17"/>
      <w:bookmarkEnd w:id="18"/>
    </w:p>
    <w:p w14:paraId="32018AC8">
      <w:pPr>
        <w:pStyle w:val="27"/>
        <w:spacing w:line="600" w:lineRule="exact"/>
        <w:ind w:firstLine="64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2024年度本年支出合计9930.5万元，其中：基本支出2125.26万元，占21.4%；项目支出5498.22万元，占55.36%；经营支出2307.02万元，占23.23%。</w:t>
      </w:r>
    </w:p>
    <w:p w14:paraId="1ED3DE8B">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4B6AB60E"/>
    <w:p w14:paraId="7A9C1954">
      <w:pPr>
        <w:spacing w:line="600" w:lineRule="exact"/>
        <w:ind w:firstLine="640" w:firstLineChars="200"/>
        <w:outlineLvl w:val="1"/>
        <w:rPr>
          <w:rStyle w:val="29"/>
          <w:rFonts w:ascii="Times New Roman" w:hAnsi="Times New Roman" w:eastAsia="黑体"/>
          <w:b w:val="0"/>
        </w:rPr>
      </w:pPr>
      <w:bookmarkStart w:id="19" w:name="_Toc15377208"/>
      <w:bookmarkStart w:id="20" w:name="_Toc15396606"/>
      <w:r>
        <w:rPr>
          <w:rFonts w:ascii="仿宋" w:hAnsi="仿宋" w:eastAsia="仿宋"/>
          <w:sz w:val="32"/>
          <w:szCs w:val="32"/>
        </w:rPr>
        <w:drawing>
          <wp:anchor distT="0" distB="0" distL="0" distR="0" simplePos="0" relativeHeight="251662336" behindDoc="0" locked="0" layoutInCell="1" allowOverlap="1">
            <wp:simplePos x="0" y="0"/>
            <wp:positionH relativeFrom="column">
              <wp:posOffset>-76200</wp:posOffset>
            </wp:positionH>
            <wp:positionV relativeFrom="paragraph">
              <wp:posOffset>3810</wp:posOffset>
            </wp:positionV>
            <wp:extent cx="4875530" cy="1940560"/>
            <wp:effectExtent l="0" t="0" r="0" b="0"/>
            <wp:wrapTopAndBottom/>
            <wp:docPr id="6"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黑体"/>
          <w:sz w:val="32"/>
          <w:szCs w:val="32"/>
        </w:rPr>
        <w:t>四、财</w:t>
      </w:r>
      <w:r>
        <w:rPr>
          <w:rStyle w:val="29"/>
          <w:rFonts w:hint="eastAsia" w:ascii="Times New Roman" w:hAnsi="Times New Roman" w:eastAsia="黑体"/>
          <w:b w:val="0"/>
        </w:rPr>
        <w:t>政拨款收入支出决算总体情况说明</w:t>
      </w:r>
      <w:bookmarkEnd w:id="19"/>
      <w:bookmarkEnd w:id="20"/>
    </w:p>
    <w:p w14:paraId="0EC1CB1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drawing>
          <wp:anchor distT="0" distB="0" distL="0" distR="0" simplePos="0" relativeHeight="251661312" behindDoc="0" locked="0" layoutInCell="1" allowOverlap="1">
            <wp:simplePos x="0" y="0"/>
            <wp:positionH relativeFrom="column">
              <wp:posOffset>161925</wp:posOffset>
            </wp:positionH>
            <wp:positionV relativeFrom="paragraph">
              <wp:posOffset>1796415</wp:posOffset>
            </wp:positionV>
            <wp:extent cx="5086350" cy="1877695"/>
            <wp:effectExtent l="0" t="0" r="0" b="0"/>
            <wp:wrapTopAndBottom/>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sz w:val="32"/>
          <w:szCs w:val="32"/>
        </w:rPr>
        <w:t>2024年度财政拨款收入、支出总计均为7503.48万元。与2023年度相比，财政拨款收入总计、支出总计各增加3445.08万元，增长46%。主要变动原因是政府专项债收支增加。</w:t>
      </w:r>
    </w:p>
    <w:p w14:paraId="16AD05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6DDE8FAA">
      <w:pPr>
        <w:spacing w:line="600" w:lineRule="exact"/>
        <w:ind w:firstLine="640"/>
        <w:rPr>
          <w:rFonts w:eastAsia="仿宋_GB2312" w:cs="仿宋_GB2312"/>
          <w:sz w:val="32"/>
          <w:szCs w:val="32"/>
        </w:rPr>
      </w:pPr>
    </w:p>
    <w:p w14:paraId="272A367A">
      <w:pPr>
        <w:spacing w:line="600" w:lineRule="exact"/>
        <w:ind w:firstLine="640" w:firstLineChars="200"/>
        <w:outlineLvl w:val="1"/>
        <w:rPr>
          <w:rStyle w:val="29"/>
          <w:rFonts w:ascii="Times New Roman" w:hAnsi="Times New Roman" w:eastAsia="黑体"/>
          <w:b w:val="0"/>
        </w:rPr>
      </w:pPr>
      <w:bookmarkStart w:id="21" w:name="_Toc15396607"/>
      <w:bookmarkStart w:id="22"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1"/>
      <w:bookmarkEnd w:id="22"/>
    </w:p>
    <w:p w14:paraId="2318F28C">
      <w:pPr>
        <w:spacing w:line="600" w:lineRule="exact"/>
        <w:ind w:firstLine="643" w:firstLineChars="200"/>
        <w:outlineLvl w:val="2"/>
        <w:rPr>
          <w:rFonts w:eastAsia="楷体_GB2312" w:cs="楷体_GB2312"/>
          <w:b/>
          <w:sz w:val="32"/>
          <w:szCs w:val="32"/>
        </w:rPr>
      </w:pPr>
      <w:bookmarkStart w:id="23" w:name="_Toc15377210"/>
      <w:r>
        <w:rPr>
          <w:rFonts w:hint="eastAsia" w:eastAsia="楷体_GB2312" w:cs="楷体_GB2312"/>
          <w:b/>
          <w:sz w:val="32"/>
          <w:szCs w:val="32"/>
        </w:rPr>
        <w:t>（一）一般公共预算财政拨款支出决算总体情况</w:t>
      </w:r>
      <w:bookmarkEnd w:id="23"/>
    </w:p>
    <w:p w14:paraId="06C10F6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2497.60万元，占本年支出合计的25.15%。与2023年度相比，一般公共预算财政拨款支出减少1560.80万元，下降62%。主要变动原因是财政保障模式改变，经营收支增加，一般公共预算财政拨款收支减少。</w:t>
      </w:r>
    </w:p>
    <w:p w14:paraId="2109DA22">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0" distR="0" simplePos="0" relativeHeight="251663360" behindDoc="0" locked="0" layoutInCell="1" allowOverlap="1">
            <wp:simplePos x="0" y="0"/>
            <wp:positionH relativeFrom="column">
              <wp:posOffset>247650</wp:posOffset>
            </wp:positionH>
            <wp:positionV relativeFrom="paragraph">
              <wp:posOffset>955675</wp:posOffset>
            </wp:positionV>
            <wp:extent cx="4429760" cy="1682115"/>
            <wp:effectExtent l="0" t="0" r="0" b="0"/>
            <wp:wrapTopAndBottom/>
            <wp:docPr id="5"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sz w:val="32"/>
          <w:szCs w:val="32"/>
        </w:rPr>
        <w:t>（图5：一般公共预算财政拨款支出决算变动情况）（柱状图）</w:t>
      </w:r>
    </w:p>
    <w:p w14:paraId="677ED2DE">
      <w:pPr>
        <w:spacing w:line="600" w:lineRule="exact"/>
        <w:ind w:firstLine="640"/>
        <w:rPr>
          <w:rFonts w:eastAsia="仿宋_GB2312" w:cs="仿宋_GB2312"/>
          <w:sz w:val="32"/>
          <w:szCs w:val="32"/>
        </w:rPr>
      </w:pPr>
    </w:p>
    <w:p w14:paraId="66B6A39B">
      <w:pPr>
        <w:spacing w:line="600" w:lineRule="exact"/>
        <w:ind w:firstLine="643" w:firstLineChars="200"/>
        <w:outlineLvl w:val="2"/>
        <w:rPr>
          <w:rFonts w:eastAsia="楷体_GB2312" w:cs="楷体_GB2312"/>
          <w:b/>
          <w:sz w:val="32"/>
          <w:szCs w:val="32"/>
        </w:rPr>
      </w:pPr>
      <w:bookmarkStart w:id="24" w:name="_Toc15377211"/>
      <w:r>
        <w:rPr>
          <w:rFonts w:hint="eastAsia" w:eastAsia="楷体_GB2312" w:cs="楷体_GB2312"/>
          <w:b/>
          <w:sz w:val="32"/>
          <w:szCs w:val="32"/>
        </w:rPr>
        <w:t>（二）一般公共预算财政拨款支出决算结构情况</w:t>
      </w:r>
      <w:bookmarkEnd w:id="24"/>
    </w:p>
    <w:p w14:paraId="11FF9C6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2024年度一般公共预算财政拨款支出2497.60万元，主要用于以下方面：一般公共服务支出2284.90万元，占91%；社会保障和就业支出211.10万元，占8%；住房保障支出1.60万元，占1%。</w:t>
      </w:r>
    </w:p>
    <w:p w14:paraId="4B5B35F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29F8CC34">
      <w:pPr>
        <w:spacing w:line="600" w:lineRule="exact"/>
        <w:ind w:firstLine="640"/>
        <w:rPr>
          <w:rFonts w:eastAsia="仿宋_GB2312" w:cs="仿宋_GB2312"/>
          <w:sz w:val="32"/>
          <w:szCs w:val="32"/>
        </w:rPr>
      </w:pPr>
    </w:p>
    <w:p w14:paraId="0EEBB9DB">
      <w:pPr>
        <w:spacing w:line="600" w:lineRule="exact"/>
        <w:ind w:firstLine="643" w:firstLineChars="200"/>
        <w:outlineLvl w:val="2"/>
        <w:rPr>
          <w:rFonts w:eastAsia="楷体_GB2312" w:cs="楷体_GB2312"/>
          <w:b/>
          <w:sz w:val="32"/>
          <w:szCs w:val="32"/>
        </w:rPr>
      </w:pPr>
      <w:bookmarkStart w:id="25" w:name="_Toc15377212"/>
      <w:r>
        <w:rPr>
          <w:rFonts w:ascii="仿宋" w:hAnsi="仿宋" w:eastAsia="仿宋"/>
          <w:b/>
          <w:sz w:val="32"/>
          <w:szCs w:val="32"/>
        </w:rPr>
        <w:drawing>
          <wp:anchor distT="0" distB="0" distL="0" distR="0" simplePos="0" relativeHeight="251664384" behindDoc="0" locked="0" layoutInCell="1" allowOverlap="1">
            <wp:simplePos x="0" y="0"/>
            <wp:positionH relativeFrom="column">
              <wp:posOffset>0</wp:posOffset>
            </wp:positionH>
            <wp:positionV relativeFrom="paragraph">
              <wp:posOffset>38100</wp:posOffset>
            </wp:positionV>
            <wp:extent cx="4875530" cy="1940560"/>
            <wp:effectExtent l="0" t="0" r="0" b="0"/>
            <wp:wrapTopAndBottom/>
            <wp:docPr id="7"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楷体_GB2312" w:cs="楷体_GB2312"/>
          <w:b/>
          <w:sz w:val="32"/>
          <w:szCs w:val="32"/>
        </w:rPr>
        <w:t>（三）一般公共预算财政拨款支出决算具体情况</w:t>
      </w:r>
      <w:bookmarkEnd w:id="25"/>
    </w:p>
    <w:p w14:paraId="46695438">
      <w:pPr>
        <w:spacing w:line="600" w:lineRule="exact"/>
        <w:ind w:firstLine="640"/>
        <w:rPr>
          <w:rFonts w:ascii="仿宋_GB2312" w:hAnsi="仿宋_GB2312" w:eastAsia="仿宋_GB2312" w:cs="仿宋_GB2312"/>
          <w:sz w:val="32"/>
          <w:szCs w:val="32"/>
        </w:rPr>
      </w:pPr>
      <w:bookmarkStart w:id="26" w:name="_Toc15378460"/>
      <w:bookmarkStart w:id="27" w:name="_Toc15377444"/>
      <w:bookmarkStart w:id="28" w:name="_Toc15377213"/>
      <w:r>
        <w:rPr>
          <w:rFonts w:hint="eastAsia" w:ascii="仿宋_GB2312" w:hAnsi="仿宋_GB2312" w:eastAsia="仿宋_GB2312" w:cs="仿宋_GB2312"/>
          <w:sz w:val="32"/>
          <w:szCs w:val="32"/>
        </w:rPr>
        <w:t>2024年度一般公共预算财政拨款支出决算数为2497.60万元，完成预算100%。其中：</w:t>
      </w:r>
      <w:bookmarkEnd w:id="26"/>
      <w:bookmarkEnd w:id="27"/>
      <w:bookmarkEnd w:id="28"/>
    </w:p>
    <w:p w14:paraId="3DA808B8">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1.一般公共服务支出（类）市场监督管理事务（款）  药品事务（项）:支出决算为20万元，完成预算100%。</w:t>
      </w:r>
    </w:p>
    <w:p w14:paraId="16B82380">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2.一般公共服务支出（类）市场监督管理事务（款）  食品安全监管（项）:支出决算为137.99万元，完成预算100%。</w:t>
      </w:r>
    </w:p>
    <w:p w14:paraId="0B70FB9C">
      <w:pPr>
        <w:spacing w:line="326" w:lineRule="auto"/>
        <w:ind w:firstLine="627" w:firstLineChars="196"/>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3.一般公共服务支出（类）市场监督管理事务（款）事业运行（项）:支出决算为1912.56万元，完成预算100%。</w:t>
      </w:r>
    </w:p>
    <w:p w14:paraId="3B0E9B01">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3.一般公共服务支出（类）市场监督管理事务（款）其他市场监督管理事务（项）:支出决算为214.35万元，完成预算100%。</w:t>
      </w:r>
    </w:p>
    <w:p w14:paraId="1E0E0947">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6.社会保障和就业支出（类）行政事业单位养老支出（款）事业单位离退休（项）:支出决算190.70万元，完成预算100%。</w:t>
      </w:r>
    </w:p>
    <w:p w14:paraId="04A40944">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 xml:space="preserve">8.社会保障和就业支出（类）行政事业单位养老支出（款）机关事业单位职业年金缴费支出（项）:支出决算为8.10万元，完成预算100%。 </w:t>
      </w:r>
    </w:p>
    <w:p w14:paraId="07161295">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9.社会保障和就业支出（类）抚恤（款）死亡抚恤（项）:支出决算为12.30万元，完成预算100%。</w:t>
      </w:r>
    </w:p>
    <w:p w14:paraId="246A3AA8">
      <w:pPr>
        <w:spacing w:line="326" w:lineRule="auto"/>
        <w:ind w:firstLine="640" w:firstLineChars="200"/>
        <w:jc w:val="left"/>
        <w:rPr>
          <w:rStyle w:val="18"/>
          <w:rFonts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rPr>
        <w:t>11.卫生健康支出（类）行政事业单位医疗（款）公务员医疗补助（项）:支出决算为1.60万元，完成预算100%。</w:t>
      </w:r>
    </w:p>
    <w:p w14:paraId="08758073">
      <w:pPr>
        <w:tabs>
          <w:tab w:val="right" w:pos="8306"/>
        </w:tabs>
        <w:spacing w:line="600" w:lineRule="exact"/>
        <w:ind w:firstLine="640"/>
        <w:outlineLvl w:val="1"/>
        <w:rPr>
          <w:rStyle w:val="29"/>
          <w:rFonts w:ascii="Times New Roman" w:hAnsi="Times New Roman"/>
        </w:rPr>
      </w:pPr>
      <w:bookmarkStart w:id="29" w:name="_Toc15396608"/>
      <w:bookmarkStart w:id="30"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9"/>
      <w:bookmarkEnd w:id="30"/>
      <w:r>
        <w:rPr>
          <w:rStyle w:val="29"/>
          <w:rFonts w:ascii="Times New Roman" w:hAnsi="Times New Roman" w:eastAsia="黑体"/>
          <w:b w:val="0"/>
        </w:rPr>
        <w:tab/>
      </w:r>
    </w:p>
    <w:p w14:paraId="676708C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2024年度一般公共预算财政拨款基本支出2125.26万元，其中：</w:t>
      </w:r>
    </w:p>
    <w:p w14:paraId="2677112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人员经费2125.26万元，主要包括：基本工资、津贴补贴、绩效工资、职业年金缴费、抚恤金、生活补助、医疗费补助。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公用经费0万元。</w:t>
      </w:r>
    </w:p>
    <w:p w14:paraId="6402DBF1">
      <w:pPr>
        <w:spacing w:line="600" w:lineRule="exact"/>
        <w:ind w:firstLine="640"/>
        <w:outlineLvl w:val="1"/>
        <w:rPr>
          <w:rStyle w:val="29"/>
          <w:rFonts w:ascii="Times New Roman" w:hAnsi="Times New Roman" w:eastAsia="黑体"/>
          <w:b w:val="0"/>
        </w:rPr>
      </w:pPr>
      <w:bookmarkStart w:id="31" w:name="_Toc15396609"/>
      <w:bookmarkStart w:id="32"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1"/>
      <w:bookmarkEnd w:id="32"/>
    </w:p>
    <w:p w14:paraId="2E74A55A">
      <w:pPr>
        <w:spacing w:line="600" w:lineRule="exact"/>
        <w:ind w:firstLine="643" w:firstLineChars="200"/>
        <w:outlineLvl w:val="2"/>
        <w:rPr>
          <w:rFonts w:eastAsia="楷体_GB2312" w:cs="楷体_GB2312"/>
          <w:b/>
          <w:sz w:val="32"/>
          <w:szCs w:val="32"/>
        </w:rPr>
      </w:pPr>
      <w:bookmarkStart w:id="33" w:name="_Toc15377216"/>
      <w:r>
        <w:rPr>
          <w:rFonts w:hint="eastAsia" w:eastAsia="楷体_GB2312" w:cs="楷体_GB2312"/>
          <w:b/>
          <w:sz w:val="32"/>
          <w:szCs w:val="32"/>
        </w:rPr>
        <w:t>（一）“三公”经费财政拨款支出决算总体情况说明</w:t>
      </w:r>
      <w:bookmarkEnd w:id="33"/>
    </w:p>
    <w:p w14:paraId="5F615F1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万元，较上年度</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21.39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217434E3">
      <w:pPr>
        <w:spacing w:line="600" w:lineRule="exact"/>
        <w:ind w:firstLine="643" w:firstLineChars="200"/>
        <w:outlineLvl w:val="2"/>
        <w:rPr>
          <w:rFonts w:eastAsia="楷体_GB2312" w:cs="楷体_GB2312"/>
          <w:b/>
          <w:sz w:val="32"/>
          <w:szCs w:val="32"/>
        </w:rPr>
      </w:pPr>
      <w:bookmarkStart w:id="34" w:name="_Toc15377217"/>
      <w:r>
        <w:rPr>
          <w:rFonts w:hint="eastAsia" w:eastAsia="楷体_GB2312" w:cs="楷体_GB2312"/>
          <w:b/>
          <w:sz w:val="32"/>
          <w:szCs w:val="32"/>
        </w:rPr>
        <w:t>（二）“三公”经费财政拨款支出决算具体情况说明</w:t>
      </w:r>
      <w:bookmarkEnd w:id="34"/>
    </w:p>
    <w:p w14:paraId="4FC827C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%；公务接待费支出决算0万元，占0%。具体情况如下：</w:t>
      </w:r>
    </w:p>
    <w:p w14:paraId="3C228C35"/>
    <w:p w14:paraId="17A4A29D">
      <w:pPr>
        <w:spacing w:line="600" w:lineRule="exact"/>
        <w:ind w:firstLine="640" w:firstLineChars="200"/>
        <w:rPr>
          <w:rFonts w:hint="eastAsia" w:ascii="仿宋_GB2312" w:hAnsi="仿宋_GB2312" w:eastAsia="仿宋_GB2312" w:cs="仿宋_GB2312"/>
          <w:sz w:val="32"/>
          <w:szCs w:val="32"/>
        </w:rPr>
      </w:pPr>
    </w:p>
    <w:p w14:paraId="436B5B36">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因公出国（境）经费支出0万元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全年安排因公出国（境）团组0次，出国（境）0人。</w:t>
      </w:r>
    </w:p>
    <w:p w14:paraId="28A31F7F">
      <w:pPr>
        <w:numPr>
          <w:ilvl w:val="0"/>
          <w:numId w:val="1"/>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4D24E7C7">
      <w:pPr>
        <w:numPr>
          <w:ilvl w:val="0"/>
          <w:numId w:val="1"/>
        </w:numPr>
        <w:spacing w:line="600" w:lineRule="exact"/>
        <w:ind w:left="0" w:leftChars="0" w:firstLine="640" w:firstLineChars="200"/>
        <w:rPr>
          <w:rFonts w:ascii="仿宋_GB2312" w:hAnsi="仿宋_GB2312" w:eastAsia="仿宋_GB2312" w:cs="仿宋_GB2312"/>
          <w:sz w:val="32"/>
          <w:szCs w:val="32"/>
        </w:rPr>
      </w:pPr>
      <w:bookmarkStart w:id="64" w:name="_GoBack"/>
      <w:bookmarkEnd w:id="64"/>
      <w:r>
        <w:rPr>
          <w:rFonts w:hint="eastAsia" w:ascii="仿宋_GB2312" w:hAnsi="仿宋_GB2312" w:eastAsia="仿宋_GB2312" w:cs="仿宋_GB2312"/>
          <w:sz w:val="32"/>
          <w:szCs w:val="32"/>
        </w:rPr>
        <w:t>公务接待费支出0万元。</w:t>
      </w:r>
    </w:p>
    <w:p w14:paraId="7F4ED094">
      <w:pPr>
        <w:spacing w:line="600" w:lineRule="exact"/>
        <w:ind w:firstLine="640" w:firstLineChars="200"/>
        <w:outlineLvl w:val="1"/>
        <w:rPr>
          <w:rStyle w:val="29"/>
          <w:rFonts w:ascii="Times New Roman" w:hAnsi="Times New Roman" w:eastAsia="黑体"/>
        </w:rPr>
      </w:pPr>
      <w:bookmarkStart w:id="35" w:name="_Toc15396610"/>
      <w:bookmarkStart w:id="36" w:name="_Toc15377218"/>
      <w:r>
        <w:rPr>
          <w:rFonts w:hint="eastAsia" w:eastAsia="黑体"/>
          <w:sz w:val="32"/>
          <w:szCs w:val="32"/>
        </w:rPr>
        <w:t>八、</w:t>
      </w:r>
      <w:r>
        <w:rPr>
          <w:rStyle w:val="29"/>
          <w:rFonts w:hint="eastAsia" w:ascii="Times New Roman" w:hAnsi="Times New Roman" w:eastAsia="黑体"/>
          <w:b w:val="0"/>
        </w:rPr>
        <w:t>政府性基金预算支出决算情况说明</w:t>
      </w:r>
      <w:bookmarkEnd w:id="35"/>
      <w:bookmarkEnd w:id="36"/>
    </w:p>
    <w:p w14:paraId="675DA4FB">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sz w:val="32"/>
          <w:szCs w:val="32"/>
        </w:rPr>
        <w:t>2024年度政府性基金预算财政拨款支出5005.88万元，占本年支出合计的50.4%。与2023年度相比，政府性基金预算财政拨款支出增加5005.88万元，增长100%。主要变动原因是政府专项债收支增加。</w:t>
      </w:r>
    </w:p>
    <w:p w14:paraId="1B334FB1">
      <w:pPr>
        <w:spacing w:line="600" w:lineRule="exact"/>
        <w:ind w:firstLine="640" w:firstLineChars="200"/>
        <w:outlineLvl w:val="1"/>
        <w:rPr>
          <w:rStyle w:val="29"/>
          <w:rFonts w:ascii="Times New Roman" w:hAnsi="Times New Roman" w:eastAsia="黑体"/>
          <w:b w:val="0"/>
        </w:rPr>
      </w:pPr>
      <w:bookmarkStart w:id="37" w:name="_Toc15396611"/>
      <w:bookmarkStart w:id="38" w:name="_Toc15377219"/>
      <w:r>
        <w:rPr>
          <w:rStyle w:val="29"/>
          <w:rFonts w:hint="eastAsia" w:ascii="Times New Roman" w:hAnsi="Times New Roman" w:eastAsia="黑体"/>
          <w:b w:val="0"/>
        </w:rPr>
        <w:t>九、国有资本经营预算支出决算情况说明</w:t>
      </w:r>
      <w:bookmarkEnd w:id="37"/>
      <w:bookmarkEnd w:id="38"/>
    </w:p>
    <w:p w14:paraId="39EEC0DE">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2024年度国有资本经营预算财政拨款支出0万元</w:t>
      </w:r>
      <w:r>
        <w:rPr>
          <w:rFonts w:hint="eastAsia" w:ascii="仿宋_GB2312" w:hAnsi="仿宋_GB2312" w:eastAsia="仿宋_GB2312" w:cs="仿宋_GB2312"/>
          <w:b/>
          <w:bCs/>
          <w:sz w:val="32"/>
          <w:szCs w:val="32"/>
        </w:rPr>
        <w:t>。</w:t>
      </w:r>
    </w:p>
    <w:p w14:paraId="7D442424">
      <w:pPr>
        <w:spacing w:line="600" w:lineRule="exact"/>
        <w:ind w:left="630"/>
        <w:outlineLvl w:val="1"/>
        <w:rPr>
          <w:rStyle w:val="29"/>
          <w:rFonts w:ascii="Times New Roman" w:hAnsi="Times New Roman" w:eastAsia="黑体"/>
          <w:b w:val="0"/>
        </w:rPr>
      </w:pPr>
      <w:bookmarkStart w:id="39" w:name="_Toc15396612"/>
      <w:bookmarkStart w:id="40" w:name="_Toc15377221"/>
      <w:r>
        <w:rPr>
          <w:rStyle w:val="29"/>
          <w:rFonts w:hint="eastAsia" w:ascii="Times New Roman" w:hAnsi="Times New Roman" w:eastAsia="黑体"/>
          <w:b w:val="0"/>
        </w:rPr>
        <w:t>十、其他重要事项的情况说明</w:t>
      </w:r>
      <w:bookmarkEnd w:id="39"/>
      <w:bookmarkEnd w:id="40"/>
    </w:p>
    <w:p w14:paraId="312B33F1">
      <w:pPr>
        <w:spacing w:line="600" w:lineRule="exact"/>
        <w:ind w:firstLine="643" w:firstLineChars="200"/>
        <w:outlineLvl w:val="2"/>
        <w:rPr>
          <w:rFonts w:eastAsia="楷体_GB2312" w:cs="楷体_GB2312"/>
          <w:b/>
          <w:sz w:val="32"/>
          <w:szCs w:val="32"/>
        </w:rPr>
      </w:pPr>
      <w:bookmarkStart w:id="41" w:name="_Toc15377222"/>
      <w:r>
        <w:rPr>
          <w:rFonts w:hint="eastAsia" w:eastAsia="楷体_GB2312" w:cs="楷体_GB2312"/>
          <w:b/>
          <w:sz w:val="32"/>
          <w:szCs w:val="32"/>
        </w:rPr>
        <w:t>（一）机关运行经费支出情况</w:t>
      </w:r>
      <w:bookmarkEnd w:id="41"/>
    </w:p>
    <w:p w14:paraId="59443FC5">
      <w:pPr>
        <w:spacing w:line="600" w:lineRule="exact"/>
        <w:ind w:firstLine="640" w:firstLineChars="200"/>
        <w:rPr>
          <w:rFonts w:ascii="仿宋_GB2312" w:hAnsi="仿宋_GB2312" w:eastAsia="仿宋_GB2312" w:cs="仿宋_GB2312"/>
          <w:sz w:val="32"/>
          <w:szCs w:val="32"/>
        </w:rPr>
      </w:pPr>
      <w:bookmarkStart w:id="42" w:name="_Toc15377223"/>
      <w:r>
        <w:rPr>
          <w:rFonts w:hint="eastAsia" w:ascii="仿宋_GB2312" w:hAnsi="仿宋_GB2312" w:eastAsia="仿宋_GB2312" w:cs="仿宋_GB2312"/>
          <w:sz w:val="32"/>
          <w:szCs w:val="32"/>
        </w:rPr>
        <w:t>2024年度，攀西钒钛检验检测院机关运行经费支出0万元。攀西院是事业单位，无机关运行经费支出。</w:t>
      </w:r>
    </w:p>
    <w:p w14:paraId="1E1455FE">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（二）政府采购支出情况</w:t>
      </w:r>
      <w:bookmarkEnd w:id="42"/>
    </w:p>
    <w:p w14:paraId="60C2EC8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2024年度，四川省攀枝花市攀西钒钛检验检测院政府采购支出总额5095.67万元，其中：政府采购货物支出3976.7万元、政府采购工程支出0万元、政府采购服务支出1118.97万元。主要用于</w:t>
      </w:r>
      <w:r>
        <w:rPr>
          <w:rFonts w:hint="eastAsia" w:ascii="仿宋_GB2312" w:hAnsi="仿宋_GB2312" w:eastAsia="仿宋_GB2312" w:cs="仿宋_GB2312"/>
          <w:color w:val="000000"/>
          <w:sz w:val="32"/>
          <w:szCs w:val="32"/>
        </w:rPr>
        <w:t>购置产品质检、食品药品检验、特种设备检测等专用设备，有利于业务开展</w:t>
      </w:r>
      <w:r>
        <w:rPr>
          <w:rFonts w:hint="eastAsia" w:ascii="仿宋_GB2312" w:hAnsi="仿宋_GB2312" w:eastAsia="仿宋_GB2312" w:cs="仿宋_GB2312"/>
          <w:sz w:val="32"/>
          <w:szCs w:val="32"/>
        </w:rPr>
        <w:t>。授予中小企业合同金额2777.19万元，占政府采购支出总额的54.5%，其中：授予小微企业合同金额2753.26万元，占政府采购支出总额的54.03%。</w:t>
      </w:r>
    </w:p>
    <w:p w14:paraId="0506C1E4">
      <w:pPr>
        <w:spacing w:line="600" w:lineRule="exact"/>
        <w:ind w:firstLine="643" w:firstLineChars="200"/>
        <w:outlineLvl w:val="2"/>
        <w:rPr>
          <w:rFonts w:eastAsia="楷体_GB2312" w:cs="楷体_GB2312"/>
          <w:b/>
          <w:sz w:val="32"/>
          <w:szCs w:val="32"/>
        </w:rPr>
      </w:pPr>
      <w:bookmarkStart w:id="43" w:name="_Toc15377224"/>
      <w:r>
        <w:rPr>
          <w:rFonts w:hint="eastAsia" w:eastAsia="楷体_GB2312" w:cs="楷体_GB2312"/>
          <w:b/>
          <w:sz w:val="32"/>
          <w:szCs w:val="32"/>
        </w:rPr>
        <w:t>（三）国有资产占有使用情况</w:t>
      </w:r>
      <w:bookmarkEnd w:id="43"/>
    </w:p>
    <w:p w14:paraId="544533D9">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截至2024年12月31日，四川省攀枝花市攀西钒钛检验检测院共有车辆19辆，其中：主要负责人用车0辆、机要通信用车0辆、应急保障用车0辆、其他用车10辆，其他用车主要是用于</w:t>
      </w:r>
      <w:r>
        <w:rPr>
          <w:rFonts w:hint="eastAsia" w:ascii="仿宋_GB2312" w:eastAsia="仿宋_GB2312"/>
          <w:color w:val="000000"/>
          <w:sz w:val="32"/>
          <w:szCs w:val="32"/>
        </w:rPr>
        <w:t>开展检验检测工作</w:t>
      </w:r>
      <w:r>
        <w:rPr>
          <w:rFonts w:hint="eastAsia" w:ascii="仿宋_GB2312" w:hAnsi="仿宋_GB2312" w:eastAsia="仿宋_GB2312" w:cs="仿宋_GB2312"/>
          <w:sz w:val="32"/>
          <w:szCs w:val="32"/>
        </w:rPr>
        <w:t>。单价100万元（含）以上设备（不含车辆）23台（套）</w:t>
      </w:r>
      <w:r>
        <w:rPr>
          <w:rFonts w:hint="eastAsia" w:eastAsia="仿宋_GB2312" w:cs="仿宋_GB2312"/>
          <w:sz w:val="32"/>
          <w:szCs w:val="32"/>
        </w:rPr>
        <w:t>。</w:t>
      </w:r>
    </w:p>
    <w:p w14:paraId="084468DA">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BA73CB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2024年度预算编制阶段，组织对中国钒钛论坛暨钒钛资源综合利用战略研讨会”1个项目开展了预算事前绩效评估；对1个项目编制了绩效目标。预算执行过程中，选取了10个项目开展绩效监控。</w:t>
      </w:r>
    </w:p>
    <w:p w14:paraId="47E0E059">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E46AB03">
      <w:pPr>
        <w:pStyle w:val="2"/>
      </w:pPr>
    </w:p>
    <w:p w14:paraId="30797F81">
      <w:pPr>
        <w:spacing w:line="600" w:lineRule="exact"/>
        <w:jc w:val="center"/>
        <w:outlineLvl w:val="0"/>
        <w:rPr>
          <w:rFonts w:eastAsia="黑体"/>
          <w:sz w:val="44"/>
          <w:szCs w:val="44"/>
        </w:rPr>
      </w:pPr>
      <w:bookmarkStart w:id="44" w:name="_Toc15377225"/>
      <w:bookmarkStart w:id="45" w:name="_Toc15396613"/>
      <w:r>
        <w:rPr>
          <w:rFonts w:hint="eastAsia" w:eastAsia="黑体"/>
          <w:sz w:val="44"/>
          <w:szCs w:val="44"/>
        </w:rPr>
        <w:t>第三部分  名词解释</w:t>
      </w:r>
      <w:bookmarkEnd w:id="44"/>
      <w:bookmarkEnd w:id="45"/>
    </w:p>
    <w:p w14:paraId="77B5A415">
      <w:pPr>
        <w:pStyle w:val="26"/>
        <w:spacing w:line="560" w:lineRule="exact"/>
        <w:ind w:firstLine="640" w:firstLineChars="200"/>
        <w:outlineLvl w:val="1"/>
        <w:rPr>
          <w:rFonts w:ascii="仿宋_GB2312" w:hAnsi="仿宋_GB2312" w:eastAsia="仿宋_GB2312" w:cs="仿宋_GB2312"/>
          <w:color w:val="auto"/>
          <w:sz w:val="32"/>
          <w:szCs w:val="32"/>
        </w:rPr>
      </w:pPr>
      <w:bookmarkStart w:id="46" w:name="_Toc7002"/>
      <w:bookmarkStart w:id="47" w:name="_Toc15396614"/>
      <w:bookmarkStart w:id="48" w:name="_Toc15377226"/>
      <w:r>
        <w:rPr>
          <w:rFonts w:hint="eastAsia" w:ascii="仿宋_GB2312" w:hAnsi="仿宋_GB2312" w:eastAsia="仿宋_GB2312" w:cs="仿宋_GB2312"/>
          <w:color w:val="auto"/>
          <w:sz w:val="32"/>
          <w:szCs w:val="32"/>
        </w:rPr>
        <w:t>1.财政拨款收入：指单位从同级财政部门取得的财政预算资金。</w:t>
      </w:r>
      <w:bookmarkEnd w:id="46"/>
    </w:p>
    <w:p w14:paraId="5CF90BA7">
      <w:pPr>
        <w:pStyle w:val="2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2.使用非财政拨款结余：指事业单位使用以前年度积累的非财政拨款结余弥补当年收支差额的金额。 </w:t>
      </w:r>
    </w:p>
    <w:p w14:paraId="22CC2DC4">
      <w:pPr>
        <w:pStyle w:val="2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3.年初结转和结余：指以前年度尚未完成、结转到本年按有关规定继续使用的资金。 </w:t>
      </w:r>
    </w:p>
    <w:p w14:paraId="06EE622C">
      <w:pPr>
        <w:pStyle w:val="2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4.年末结转和结余：指单位按有关规定结转到下年或以后年度继续使用的资金。</w:t>
      </w:r>
    </w:p>
    <w:p w14:paraId="66E72696">
      <w:pPr>
        <w:spacing w:line="326" w:lineRule="auto"/>
        <w:ind w:firstLine="640" w:firstLineChars="200"/>
        <w:jc w:val="left"/>
        <w:rPr>
          <w:rStyle w:val="18"/>
          <w:rFonts w:ascii="仿宋_GB2312" w:hAnsi="仿宋_GB2312" w:eastAsia="仿宋_GB2312" w:cs="仿宋_GB2312"/>
          <w:b w:val="0"/>
          <w:color w:val="000000"/>
          <w:sz w:val="32"/>
          <w:szCs w:val="32"/>
        </w:rPr>
      </w:pPr>
      <w:r>
        <w:rPr>
          <w:rStyle w:val="18"/>
          <w:rFonts w:hint="eastAsia" w:ascii="仿宋_GB2312" w:hAnsi="仿宋_GB2312" w:eastAsia="仿宋_GB2312" w:cs="仿宋_GB2312"/>
          <w:b w:val="0"/>
          <w:color w:val="000000"/>
          <w:sz w:val="32"/>
          <w:szCs w:val="32"/>
        </w:rPr>
        <w:t>5.一般公共服务支出（类）市场监督管理事务（款）  药品事物（项）:反映用于药品（含中药、民族药）监督管理方面的支出。</w:t>
      </w:r>
    </w:p>
    <w:p w14:paraId="28665084">
      <w:pPr>
        <w:spacing w:line="326" w:lineRule="auto"/>
        <w:ind w:firstLine="640" w:firstLineChars="200"/>
        <w:jc w:val="left"/>
        <w:rPr>
          <w:rStyle w:val="18"/>
          <w:rFonts w:ascii="仿宋_GB2312" w:hAnsi="仿宋_GB2312" w:eastAsia="仿宋_GB2312" w:cs="仿宋_GB2312"/>
          <w:b w:val="0"/>
          <w:color w:val="000000"/>
          <w:sz w:val="32"/>
          <w:szCs w:val="32"/>
        </w:rPr>
      </w:pPr>
      <w:r>
        <w:rPr>
          <w:rStyle w:val="18"/>
          <w:rFonts w:hint="eastAsia" w:ascii="仿宋_GB2312" w:hAnsi="仿宋_GB2312" w:eastAsia="仿宋_GB2312" w:cs="仿宋_GB2312"/>
          <w:b w:val="0"/>
          <w:color w:val="000000"/>
          <w:sz w:val="32"/>
          <w:szCs w:val="32"/>
        </w:rPr>
        <w:t>6.一般公共服务支出（类）市场监督管理事务（款）  食品安全监管（项）:反映用于食品监督管理方面的支出。</w:t>
      </w:r>
    </w:p>
    <w:p w14:paraId="23D415F9">
      <w:pPr>
        <w:spacing w:line="326" w:lineRule="auto"/>
        <w:ind w:firstLine="640" w:firstLineChars="200"/>
        <w:jc w:val="left"/>
        <w:rPr>
          <w:rStyle w:val="18"/>
          <w:rFonts w:ascii="仿宋_GB2312" w:hAnsi="仿宋_GB2312" w:eastAsia="仿宋_GB2312" w:cs="仿宋_GB2312"/>
          <w:b w:val="0"/>
          <w:color w:val="000000"/>
          <w:sz w:val="32"/>
          <w:szCs w:val="32"/>
        </w:rPr>
      </w:pPr>
      <w:r>
        <w:rPr>
          <w:rStyle w:val="18"/>
          <w:rFonts w:hint="eastAsia" w:ascii="仿宋_GB2312" w:hAnsi="仿宋_GB2312" w:eastAsia="仿宋_GB2312" w:cs="仿宋_GB2312"/>
          <w:b w:val="0"/>
          <w:color w:val="000000"/>
          <w:sz w:val="32"/>
          <w:szCs w:val="32"/>
        </w:rPr>
        <w:t xml:space="preserve">7.一般公共服务（类）市场监督管理事务（款）事业运行（项）: </w:t>
      </w:r>
      <w:r>
        <w:rPr>
          <w:rFonts w:hint="eastAsia" w:ascii="仿宋_GB2312" w:hAnsi="仿宋_GB2312" w:eastAsia="仿宋_GB2312" w:cs="仿宋_GB2312"/>
          <w:sz w:val="32"/>
          <w:szCs w:val="32"/>
        </w:rPr>
        <w:t>指用于事业单位的基本支出。</w:t>
      </w:r>
    </w:p>
    <w:p w14:paraId="4D348A7F">
      <w:pPr>
        <w:spacing w:line="326" w:lineRule="auto"/>
        <w:ind w:firstLine="640" w:firstLineChars="200"/>
        <w:jc w:val="left"/>
        <w:rPr>
          <w:rStyle w:val="18"/>
          <w:rFonts w:ascii="仿宋_GB2312" w:hAnsi="仿宋_GB2312" w:eastAsia="仿宋_GB2312" w:cs="仿宋_GB2312"/>
          <w:b w:val="0"/>
          <w:sz w:val="32"/>
          <w:szCs w:val="32"/>
        </w:rPr>
      </w:pPr>
      <w:r>
        <w:rPr>
          <w:rStyle w:val="18"/>
          <w:rFonts w:hint="eastAsia" w:ascii="仿宋_GB2312" w:hAnsi="仿宋_GB2312" w:eastAsia="仿宋_GB2312" w:cs="仿宋_GB2312"/>
          <w:b w:val="0"/>
          <w:color w:val="000000"/>
          <w:sz w:val="32"/>
          <w:szCs w:val="32"/>
        </w:rPr>
        <w:t xml:space="preserve">8.一般公共服务（类）市场监督管理事务（款）其他市场监督管理事务（项）: </w:t>
      </w:r>
      <w:r>
        <w:rPr>
          <w:rStyle w:val="18"/>
          <w:rFonts w:hint="eastAsia" w:ascii="仿宋_GB2312" w:hAnsi="仿宋_GB2312" w:eastAsia="仿宋_GB2312" w:cs="仿宋_GB2312"/>
          <w:b w:val="0"/>
          <w:sz w:val="32"/>
          <w:szCs w:val="32"/>
        </w:rPr>
        <w:t>指反映用于除上述项目以外其他市场监督管理事务方面的支出。</w:t>
      </w:r>
    </w:p>
    <w:p w14:paraId="0DEBB1F9">
      <w:pPr>
        <w:pStyle w:val="26"/>
        <w:spacing w:line="326" w:lineRule="auto"/>
        <w:rPr>
          <w:rStyle w:val="18"/>
          <w:rFonts w:ascii="仿宋_GB2312" w:hAnsi="仿宋_GB2312" w:eastAsia="仿宋_GB2312" w:cs="仿宋_GB2312"/>
          <w:b w:val="0"/>
          <w:sz w:val="32"/>
          <w:szCs w:val="32"/>
        </w:rPr>
      </w:pPr>
      <w:r>
        <w:rPr>
          <w:rStyle w:val="18"/>
          <w:rFonts w:hint="eastAsia" w:ascii="仿宋_GB2312" w:hAnsi="仿宋_GB2312" w:eastAsia="仿宋_GB2312" w:cs="仿宋_GB2312"/>
          <w:b w:val="0"/>
          <w:sz w:val="32"/>
          <w:szCs w:val="32"/>
        </w:rPr>
        <w:t xml:space="preserve">  </w:t>
      </w:r>
      <w:r>
        <w:rPr>
          <w:rStyle w:val="18"/>
          <w:rFonts w:ascii="仿宋_GB2312" w:hAnsi="仿宋_GB2312" w:eastAsia="仿宋_GB2312" w:cs="仿宋_GB2312"/>
          <w:b w:val="0"/>
          <w:sz w:val="32"/>
          <w:szCs w:val="32"/>
        </w:rPr>
        <w:t xml:space="preserve">  </w:t>
      </w:r>
      <w:r>
        <w:rPr>
          <w:rStyle w:val="18"/>
          <w:rFonts w:hint="eastAsia" w:ascii="仿宋_GB2312" w:hAnsi="仿宋_GB2312" w:eastAsia="仿宋_GB2312" w:cs="仿宋_GB2312"/>
          <w:b w:val="0"/>
          <w:sz w:val="32"/>
          <w:szCs w:val="32"/>
        </w:rPr>
        <w:t xml:space="preserve"> 9.社会保障和就业（类）行政事业单位离退休（款）事业单位离退休（项）:</w:t>
      </w:r>
      <w:r>
        <w:rPr>
          <w:rFonts w:hint="eastAsia" w:ascii="仿宋_GB2312" w:hAnsi="仿宋_GB2312" w:eastAsia="仿宋_GB2312" w:cs="仿宋_GB2312"/>
          <w:sz w:val="32"/>
          <w:szCs w:val="32"/>
        </w:rPr>
        <w:t>指事业单位开支的离退休支出。</w:t>
      </w:r>
    </w:p>
    <w:p w14:paraId="40BDB0FF">
      <w:pPr>
        <w:pStyle w:val="26"/>
        <w:spacing w:line="326" w:lineRule="auto"/>
        <w:ind w:firstLine="640" w:firstLineChars="200"/>
        <w:rPr>
          <w:rStyle w:val="18"/>
          <w:rFonts w:ascii="仿宋_GB2312" w:hAnsi="仿宋_GB2312" w:eastAsia="仿宋_GB2312" w:cs="仿宋_GB2312"/>
          <w:b w:val="0"/>
          <w:sz w:val="32"/>
          <w:szCs w:val="32"/>
        </w:rPr>
      </w:pPr>
      <w:r>
        <w:rPr>
          <w:rFonts w:hint="eastAsia" w:ascii="仿宋_GB2312" w:hAnsi="仿宋_GB2312" w:eastAsia="仿宋_GB2312" w:cs="仿宋_GB2312"/>
          <w:sz w:val="32"/>
          <w:szCs w:val="32"/>
        </w:rPr>
        <w:t>10.</w:t>
      </w:r>
      <w:r>
        <w:rPr>
          <w:rStyle w:val="18"/>
          <w:rFonts w:hint="eastAsia" w:ascii="仿宋_GB2312" w:hAnsi="仿宋_GB2312" w:eastAsia="仿宋_GB2312" w:cs="仿宋_GB2312"/>
          <w:b w:val="0"/>
          <w:sz w:val="32"/>
          <w:szCs w:val="32"/>
        </w:rPr>
        <w:t>社会保障和就业支出（类）行政事业单位养老支出（款）机关事业单位职业年金缴费支出（项）:指机关事业单位实施养老保险制度由单位实际缴纳的职业年金支出。</w:t>
      </w:r>
    </w:p>
    <w:p w14:paraId="1B3C6D64">
      <w:pPr>
        <w:pStyle w:val="26"/>
        <w:spacing w:line="326" w:lineRule="auto"/>
        <w:ind w:firstLine="640" w:firstLineChars="200"/>
        <w:rPr>
          <w:rStyle w:val="18"/>
          <w:rFonts w:ascii="仿宋_GB2312" w:hAnsi="仿宋_GB2312" w:eastAsia="仿宋_GB2312" w:cs="仿宋_GB2312"/>
          <w:b w:val="0"/>
          <w:sz w:val="32"/>
          <w:szCs w:val="32"/>
        </w:rPr>
      </w:pPr>
      <w:r>
        <w:rPr>
          <w:rStyle w:val="18"/>
          <w:rFonts w:hint="eastAsia" w:ascii="仿宋_GB2312" w:hAnsi="仿宋_GB2312" w:eastAsia="仿宋_GB2312" w:cs="仿宋_GB2312"/>
          <w:b w:val="0"/>
          <w:sz w:val="32"/>
          <w:szCs w:val="32"/>
        </w:rPr>
        <w:t>11.社会保障和就业支出（类）抚恤（款）死亡抚恤（项）:指按规定用于烈士和牺牲、病故人员家属的一次性和定期抚恤金、丧葬补助。</w:t>
      </w:r>
    </w:p>
    <w:p w14:paraId="32C6E264">
      <w:pPr>
        <w:pStyle w:val="6"/>
        <w:spacing w:before="93"/>
        <w:ind w:firstLine="600"/>
        <w:rPr>
          <w:rStyle w:val="18"/>
          <w:b w:val="0"/>
          <w:bCs/>
          <w:color w:val="000000"/>
          <w:sz w:val="32"/>
          <w:szCs w:val="32"/>
        </w:rPr>
      </w:pPr>
      <w:r>
        <w:rPr>
          <w:rStyle w:val="18"/>
          <w:rFonts w:hint="eastAsia"/>
          <w:b w:val="0"/>
          <w:bCs/>
          <w:color w:val="000000"/>
          <w:sz w:val="32"/>
          <w:szCs w:val="32"/>
        </w:rPr>
        <w:t>12. 卫生健康支出（类）行政事业单位医疗（款）公务员医疗补助（项）: 反映财政部门安排的公务员医疗补助经费。</w:t>
      </w:r>
    </w:p>
    <w:p w14:paraId="553C190E">
      <w:pPr>
        <w:pStyle w:val="6"/>
        <w:spacing w:before="93"/>
        <w:ind w:firstLine="600"/>
        <w:rPr>
          <w:rFonts w:hAnsi="仿宋_GB2312" w:cs="仿宋_GB2312"/>
          <w:sz w:val="32"/>
          <w:szCs w:val="32"/>
        </w:rPr>
      </w:pPr>
      <w:r>
        <w:rPr>
          <w:rFonts w:hint="eastAsia" w:hAnsi="仿宋_GB2312" w:cs="仿宋_GB2312"/>
          <w:sz w:val="32"/>
          <w:szCs w:val="32"/>
        </w:rPr>
        <w:t>13.基本支出：指为保障机构正常运转、完成日常工作任务而发生的人员支出和公用支出。</w:t>
      </w:r>
    </w:p>
    <w:p w14:paraId="231B6D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14.项目支出：指在基本支出之外为完成特定行政任务和事业发展目标所发生的支出。 </w:t>
      </w:r>
    </w:p>
    <w:p w14:paraId="5DF5CEE2">
      <w:pPr>
        <w:pStyle w:val="26"/>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B0135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16.经营支出：指事业单位在专业业务活动及其辅助活动之外开展非独立核算经营活动发生的支出。</w:t>
      </w:r>
    </w:p>
    <w:p w14:paraId="1CF19357">
      <w:r>
        <w:rPr>
          <w:rFonts w:hint="eastAsia" w:ascii="仿宋_GB2312" w:hAnsi="仿宋_GB2312" w:eastAsia="仿宋_GB2312" w:cs="仿宋_GB2312"/>
          <w:sz w:val="32"/>
          <w:szCs w:val="32"/>
        </w:rPr>
        <w:br w:type="page"/>
      </w:r>
    </w:p>
    <w:p w14:paraId="40192807">
      <w:pPr>
        <w:spacing w:line="600" w:lineRule="exact"/>
        <w:jc w:val="center"/>
        <w:rPr>
          <w:rFonts w:eastAsia="黑体"/>
          <w:sz w:val="44"/>
          <w:szCs w:val="44"/>
        </w:rPr>
      </w:pPr>
    </w:p>
    <w:p w14:paraId="60E9306C">
      <w:pPr>
        <w:spacing w:line="600" w:lineRule="exact"/>
        <w:jc w:val="center"/>
        <w:rPr>
          <w:rStyle w:val="28"/>
          <w:rFonts w:eastAsia="黑体"/>
          <w:b w:val="0"/>
        </w:rPr>
      </w:pPr>
      <w:r>
        <w:rPr>
          <w:rFonts w:hint="eastAsia" w:eastAsia="黑体"/>
          <w:sz w:val="44"/>
          <w:szCs w:val="44"/>
        </w:rPr>
        <w:t>第四部分  附件</w:t>
      </w:r>
      <w:bookmarkEnd w:id="47"/>
    </w:p>
    <w:p w14:paraId="6AE67D9F">
      <w:pPr>
        <w:spacing w:line="600" w:lineRule="exact"/>
        <w:ind w:firstLine="640" w:firstLineChars="200"/>
        <w:outlineLvl w:val="1"/>
        <w:rPr>
          <w:rFonts w:ascii="仿宋_GB2312" w:hAnsi="仿宋_GB2312" w:eastAsia="仿宋_GB2312" w:cs="仿宋_GB2312"/>
          <w:color w:val="FF0000"/>
          <w:sz w:val="32"/>
          <w:szCs w:val="32"/>
        </w:rPr>
      </w:pPr>
      <w:bookmarkStart w:id="49" w:name="_Toc16501"/>
      <w:r>
        <w:rPr>
          <w:rFonts w:hint="eastAsia" w:ascii="仿宋_GB2312" w:hAnsi="仿宋_GB2312" w:eastAsia="仿宋_GB2312" w:cs="仿宋_GB2312"/>
          <w:sz w:val="32"/>
          <w:szCs w:val="32"/>
        </w:rPr>
        <w:t>部门预算项目支出绩效目标表（2024年度）</w:t>
      </w:r>
      <w:bookmarkEnd w:id="49"/>
    </w:p>
    <w:p w14:paraId="50B64299">
      <w:pPr>
        <w:pStyle w:val="8"/>
        <w:spacing w:line="560" w:lineRule="exact"/>
        <w:ind w:left="0" w:leftChars="0" w:firstLine="640"/>
        <w:rPr>
          <w:rFonts w:hAnsi="仿宋_GB2312" w:eastAsia="仿宋_GB2312" w:cs="仿宋_GB2312"/>
          <w:sz w:val="32"/>
        </w:rPr>
      </w:pPr>
      <w:r>
        <w:rPr>
          <w:rFonts w:hint="eastAsia" w:hAnsi="仿宋_GB2312" w:eastAsia="仿宋_GB2312" w:cs="仿宋_GB2312"/>
          <w:sz w:val="32"/>
        </w:rPr>
        <w:t>见附件</w:t>
      </w:r>
    </w:p>
    <w:p w14:paraId="558A6F66">
      <w:pPr>
        <w:pStyle w:val="8"/>
        <w:spacing w:line="560" w:lineRule="exact"/>
        <w:ind w:left="0" w:leftChars="0" w:firstLine="0" w:firstLineChars="0"/>
        <w:rPr>
          <w:rFonts w:ascii="Times New Roman"/>
          <w:sz w:val="32"/>
          <w:highlight w:val="yellow"/>
          <w:lang w:val="zh-CN"/>
        </w:rPr>
      </w:pPr>
    </w:p>
    <w:p w14:paraId="6A112846">
      <w:pPr>
        <w:pStyle w:val="6"/>
        <w:spacing w:before="93"/>
        <w:rPr>
          <w:rFonts w:ascii="Times New Roman" w:cs="宋体"/>
          <w:color w:val="FF0000"/>
          <w:sz w:val="32"/>
          <w:szCs w:val="32"/>
          <w:highlight w:val="yellow"/>
          <w:shd w:val="clear" w:color="auto" w:fill="FFFFFF"/>
          <w:lang w:val="zh-CN"/>
        </w:rPr>
      </w:pPr>
    </w:p>
    <w:p w14:paraId="6F5345BE">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08BF759">
      <w:pPr>
        <w:widowControl/>
        <w:jc w:val="center"/>
        <w:rPr>
          <w:rFonts w:eastAsia="仿宋"/>
        </w:rPr>
      </w:pPr>
      <w:bookmarkStart w:id="50" w:name="_Toc15396618"/>
      <w:r>
        <w:rPr>
          <w:rFonts w:hint="eastAsia" w:eastAsia="黑体"/>
          <w:sz w:val="44"/>
          <w:szCs w:val="44"/>
        </w:rPr>
        <w:t>第</w:t>
      </w:r>
      <w:r>
        <w:rPr>
          <w:rStyle w:val="28"/>
          <w:rFonts w:hint="eastAsia" w:eastAsia="黑体"/>
          <w:b w:val="0"/>
        </w:rPr>
        <w:t>五部分 附表</w:t>
      </w:r>
      <w:bookmarkEnd w:id="48"/>
      <w:bookmarkEnd w:id="50"/>
      <w:bookmarkStart w:id="51" w:name="_Toc15396619"/>
    </w:p>
    <w:p w14:paraId="1786F6AF">
      <w:pPr>
        <w:pStyle w:val="15"/>
        <w:adjustRightInd w:val="0"/>
        <w:snapToGrid w:val="0"/>
        <w:spacing w:line="560" w:lineRule="exact"/>
        <w:jc w:val="left"/>
        <w:rPr>
          <w:rFonts w:eastAsia="仿宋_GB2312" w:cs="仿宋_GB2312"/>
          <w:sz w:val="32"/>
          <w:szCs w:val="32"/>
        </w:rPr>
      </w:pPr>
    </w:p>
    <w:p w14:paraId="76256668">
      <w:pPr>
        <w:pStyle w:val="15"/>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1"/>
    </w:p>
    <w:p w14:paraId="322704BA">
      <w:pPr>
        <w:pStyle w:val="15"/>
        <w:adjustRightInd w:val="0"/>
        <w:snapToGrid w:val="0"/>
        <w:spacing w:line="560" w:lineRule="exact"/>
        <w:jc w:val="left"/>
        <w:rPr>
          <w:rFonts w:ascii="仿宋_GB2312" w:hAnsi="仿宋_GB2312" w:eastAsia="仿宋_GB2312" w:cs="仿宋_GB2312"/>
          <w:sz w:val="32"/>
          <w:szCs w:val="32"/>
        </w:rPr>
      </w:pPr>
      <w:bookmarkStart w:id="52" w:name="_Toc15396620"/>
      <w:r>
        <w:rPr>
          <w:rFonts w:hint="eastAsia" w:ascii="仿宋_GB2312" w:hAnsi="仿宋_GB2312" w:eastAsia="仿宋_GB2312" w:cs="仿宋_GB2312"/>
          <w:sz w:val="32"/>
          <w:szCs w:val="32"/>
        </w:rPr>
        <w:t>二、收入决算表</w:t>
      </w:r>
      <w:bookmarkEnd w:id="52"/>
    </w:p>
    <w:p w14:paraId="07D052C9">
      <w:pPr>
        <w:pStyle w:val="15"/>
        <w:adjustRightInd w:val="0"/>
        <w:snapToGrid w:val="0"/>
        <w:spacing w:line="560" w:lineRule="exact"/>
        <w:jc w:val="left"/>
        <w:rPr>
          <w:rFonts w:ascii="仿宋_GB2312" w:hAnsi="仿宋_GB2312" w:eastAsia="仿宋_GB2312" w:cs="仿宋_GB2312"/>
          <w:sz w:val="32"/>
          <w:szCs w:val="32"/>
        </w:rPr>
      </w:pPr>
      <w:bookmarkStart w:id="53" w:name="_Toc15396621"/>
      <w:r>
        <w:rPr>
          <w:rFonts w:hint="eastAsia" w:ascii="仿宋_GB2312" w:hAnsi="仿宋_GB2312" w:eastAsia="仿宋_GB2312" w:cs="仿宋_GB2312"/>
          <w:sz w:val="32"/>
          <w:szCs w:val="32"/>
        </w:rPr>
        <w:t>三、支出决算表</w:t>
      </w:r>
      <w:bookmarkEnd w:id="53"/>
    </w:p>
    <w:p w14:paraId="76723410">
      <w:pPr>
        <w:pStyle w:val="15"/>
        <w:adjustRightInd w:val="0"/>
        <w:snapToGrid w:val="0"/>
        <w:spacing w:line="560" w:lineRule="exact"/>
        <w:jc w:val="left"/>
        <w:rPr>
          <w:rFonts w:ascii="仿宋_GB2312" w:hAnsi="仿宋_GB2312" w:eastAsia="仿宋_GB2312" w:cs="仿宋_GB2312"/>
          <w:sz w:val="32"/>
          <w:szCs w:val="32"/>
        </w:rPr>
      </w:pPr>
      <w:bookmarkStart w:id="54" w:name="_Toc15396622"/>
      <w:r>
        <w:rPr>
          <w:rFonts w:hint="eastAsia" w:ascii="仿宋_GB2312" w:hAnsi="仿宋_GB2312" w:eastAsia="仿宋_GB2312" w:cs="仿宋_GB2312"/>
          <w:sz w:val="32"/>
          <w:szCs w:val="32"/>
        </w:rPr>
        <w:t>四、财政拨款收入支出决算总表</w:t>
      </w:r>
      <w:bookmarkEnd w:id="54"/>
    </w:p>
    <w:p w14:paraId="373E9F29">
      <w:pPr>
        <w:pStyle w:val="15"/>
        <w:adjustRightInd w:val="0"/>
        <w:snapToGrid w:val="0"/>
        <w:spacing w:line="560" w:lineRule="exact"/>
        <w:jc w:val="left"/>
        <w:rPr>
          <w:rFonts w:ascii="仿宋_GB2312" w:hAnsi="仿宋_GB2312" w:eastAsia="仿宋_GB2312" w:cs="仿宋_GB2312"/>
          <w:sz w:val="32"/>
          <w:szCs w:val="32"/>
        </w:rPr>
      </w:pPr>
      <w:bookmarkStart w:id="55" w:name="_Toc15396623"/>
      <w:r>
        <w:rPr>
          <w:rFonts w:hint="eastAsia" w:ascii="仿宋_GB2312" w:hAnsi="仿宋_GB2312" w:eastAsia="仿宋_GB2312" w:cs="仿宋_GB2312"/>
          <w:sz w:val="32"/>
          <w:szCs w:val="32"/>
        </w:rPr>
        <w:t>五、财政拨款支出决算明细表</w:t>
      </w:r>
      <w:bookmarkEnd w:id="55"/>
      <w:bookmarkStart w:id="56" w:name="_Toc15396624"/>
    </w:p>
    <w:p w14:paraId="39768760">
      <w:pPr>
        <w:pStyle w:val="15"/>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56"/>
    </w:p>
    <w:p w14:paraId="758290D3">
      <w:pPr>
        <w:pStyle w:val="15"/>
        <w:adjustRightInd w:val="0"/>
        <w:snapToGrid w:val="0"/>
        <w:spacing w:line="560" w:lineRule="exact"/>
        <w:jc w:val="left"/>
        <w:rPr>
          <w:rFonts w:ascii="仿宋_GB2312" w:hAnsi="仿宋_GB2312" w:eastAsia="仿宋_GB2312" w:cs="仿宋_GB2312"/>
          <w:sz w:val="32"/>
          <w:szCs w:val="32"/>
        </w:rPr>
      </w:pPr>
      <w:bookmarkStart w:id="57" w:name="_Toc15396625"/>
      <w:r>
        <w:rPr>
          <w:rFonts w:hint="eastAsia" w:ascii="仿宋_GB2312" w:hAnsi="仿宋_GB2312" w:eastAsia="仿宋_GB2312" w:cs="仿宋_GB2312"/>
          <w:sz w:val="32"/>
          <w:szCs w:val="32"/>
        </w:rPr>
        <w:t>七、一般公共预算财政拨款支出决算明细表</w:t>
      </w:r>
      <w:bookmarkEnd w:id="57"/>
    </w:p>
    <w:p w14:paraId="246C9907">
      <w:pPr>
        <w:pStyle w:val="15"/>
        <w:adjustRightInd w:val="0"/>
        <w:snapToGrid w:val="0"/>
        <w:spacing w:line="560" w:lineRule="exact"/>
        <w:jc w:val="left"/>
        <w:rPr>
          <w:rFonts w:ascii="仿宋_GB2312" w:hAnsi="仿宋_GB2312" w:eastAsia="仿宋_GB2312" w:cs="仿宋_GB2312"/>
          <w:sz w:val="32"/>
          <w:szCs w:val="32"/>
        </w:rPr>
      </w:pPr>
      <w:bookmarkStart w:id="58" w:name="_Toc15396626"/>
      <w:r>
        <w:rPr>
          <w:rFonts w:hint="eastAsia" w:ascii="仿宋_GB2312" w:hAnsi="仿宋_GB2312" w:eastAsia="仿宋_GB2312" w:cs="仿宋_GB2312"/>
          <w:sz w:val="32"/>
          <w:szCs w:val="32"/>
        </w:rPr>
        <w:t>八、一般公共预算财政拨款基本支出决算表</w:t>
      </w:r>
      <w:bookmarkEnd w:id="58"/>
    </w:p>
    <w:p w14:paraId="67B3727A">
      <w:pPr>
        <w:pStyle w:val="15"/>
        <w:adjustRightInd w:val="0"/>
        <w:snapToGrid w:val="0"/>
        <w:spacing w:line="560" w:lineRule="exact"/>
        <w:jc w:val="left"/>
        <w:rPr>
          <w:rFonts w:ascii="仿宋_GB2312" w:hAnsi="仿宋_GB2312" w:eastAsia="仿宋_GB2312" w:cs="仿宋_GB2312"/>
          <w:sz w:val="32"/>
          <w:szCs w:val="32"/>
        </w:rPr>
      </w:pPr>
      <w:bookmarkStart w:id="59" w:name="_Toc15396627"/>
      <w:r>
        <w:rPr>
          <w:rFonts w:hint="eastAsia" w:ascii="仿宋_GB2312" w:hAnsi="仿宋_GB2312" w:eastAsia="仿宋_GB2312" w:cs="仿宋_GB2312"/>
          <w:sz w:val="32"/>
          <w:szCs w:val="32"/>
        </w:rPr>
        <w:t>九、一般公共预算财政拨款项目支出决算表</w:t>
      </w:r>
      <w:bookmarkEnd w:id="59"/>
    </w:p>
    <w:p w14:paraId="7A8D6CC6">
      <w:pPr>
        <w:pStyle w:val="15"/>
        <w:adjustRightInd w:val="0"/>
        <w:snapToGrid w:val="0"/>
        <w:spacing w:line="560" w:lineRule="exact"/>
        <w:jc w:val="left"/>
        <w:rPr>
          <w:rFonts w:ascii="仿宋_GB2312" w:hAnsi="仿宋_GB2312" w:eastAsia="仿宋_GB2312" w:cs="仿宋_GB2312"/>
          <w:sz w:val="32"/>
          <w:szCs w:val="32"/>
        </w:rPr>
      </w:pPr>
      <w:bookmarkStart w:id="60" w:name="_Toc15396628"/>
      <w:r>
        <w:rPr>
          <w:rFonts w:hint="eastAsia" w:ascii="仿宋_GB2312" w:hAnsi="仿宋_GB2312" w:eastAsia="仿宋_GB2312" w:cs="仿宋_GB2312"/>
          <w:sz w:val="32"/>
          <w:szCs w:val="32"/>
        </w:rPr>
        <w:t>十、</w:t>
      </w:r>
      <w:bookmarkEnd w:id="60"/>
      <w:r>
        <w:rPr>
          <w:rFonts w:hint="eastAsia" w:ascii="仿宋_GB2312" w:hAnsi="仿宋_GB2312" w:eastAsia="仿宋_GB2312" w:cs="仿宋_GB2312"/>
          <w:sz w:val="32"/>
          <w:szCs w:val="32"/>
        </w:rPr>
        <w:t>政府性基金预算财政拨款收入支出决算表</w:t>
      </w:r>
    </w:p>
    <w:p w14:paraId="2A1964F2">
      <w:pPr>
        <w:pStyle w:val="15"/>
        <w:adjustRightInd w:val="0"/>
        <w:snapToGrid w:val="0"/>
        <w:spacing w:line="560" w:lineRule="exact"/>
        <w:jc w:val="left"/>
        <w:rPr>
          <w:rFonts w:ascii="仿宋_GB2312" w:hAnsi="仿宋_GB2312" w:eastAsia="仿宋_GB2312" w:cs="仿宋_GB2312"/>
          <w:sz w:val="32"/>
          <w:szCs w:val="32"/>
        </w:rPr>
      </w:pPr>
      <w:bookmarkStart w:id="61" w:name="_Toc15396629"/>
      <w:r>
        <w:rPr>
          <w:rFonts w:hint="eastAsia" w:ascii="仿宋_GB2312" w:hAnsi="仿宋_GB2312" w:eastAsia="仿宋_GB2312" w:cs="仿宋_GB2312"/>
          <w:sz w:val="32"/>
          <w:szCs w:val="32"/>
        </w:rPr>
        <w:t>十一、</w:t>
      </w:r>
      <w:bookmarkEnd w:id="61"/>
      <w:r>
        <w:rPr>
          <w:rFonts w:hint="eastAsia" w:ascii="仿宋_GB2312" w:hAnsi="仿宋_GB2312" w:eastAsia="仿宋_GB2312" w:cs="仿宋_GB2312"/>
          <w:sz w:val="32"/>
          <w:szCs w:val="32"/>
        </w:rPr>
        <w:t>国有资本经营预算财政拨款收入支出决算表</w:t>
      </w:r>
      <w:r>
        <w:rPr>
          <w:rStyle w:val="29"/>
          <w:rFonts w:hint="eastAsia" w:ascii="仿宋_GB2312" w:hAnsi="仿宋_GB2312" w:eastAsia="仿宋_GB2312" w:cs="仿宋_GB2312"/>
          <w:b w:val="0"/>
          <w:bCs w:val="0"/>
        </w:rPr>
        <w:t>(本表无数据)</w:t>
      </w:r>
    </w:p>
    <w:p w14:paraId="5B188615">
      <w:pPr>
        <w:pStyle w:val="15"/>
        <w:adjustRightInd w:val="0"/>
        <w:snapToGrid w:val="0"/>
        <w:spacing w:line="560" w:lineRule="exact"/>
        <w:jc w:val="left"/>
        <w:rPr>
          <w:rFonts w:ascii="仿宋_GB2312" w:hAnsi="仿宋_GB2312" w:eastAsia="仿宋_GB2312" w:cs="仿宋_GB2312"/>
          <w:sz w:val="32"/>
          <w:szCs w:val="32"/>
        </w:rPr>
      </w:pPr>
      <w:bookmarkStart w:id="62" w:name="_Toc15396630"/>
      <w:r>
        <w:rPr>
          <w:rFonts w:hint="eastAsia" w:ascii="仿宋_GB2312" w:hAnsi="仿宋_GB2312" w:eastAsia="仿宋_GB2312" w:cs="仿宋_GB2312"/>
          <w:sz w:val="32"/>
          <w:szCs w:val="32"/>
        </w:rPr>
        <w:t>十二、</w:t>
      </w:r>
      <w:bookmarkEnd w:id="62"/>
      <w:r>
        <w:rPr>
          <w:rFonts w:hint="eastAsia" w:ascii="仿宋_GB2312" w:hAnsi="仿宋_GB2312" w:eastAsia="仿宋_GB2312" w:cs="仿宋_GB2312"/>
          <w:sz w:val="32"/>
          <w:szCs w:val="32"/>
        </w:rPr>
        <w:t>国有资本经营预算财政拨款支出决算表</w:t>
      </w:r>
      <w:r>
        <w:rPr>
          <w:rStyle w:val="29"/>
          <w:rFonts w:hint="eastAsia" w:ascii="仿宋_GB2312" w:hAnsi="仿宋_GB2312" w:eastAsia="仿宋_GB2312" w:cs="仿宋_GB2312"/>
          <w:b w:val="0"/>
          <w:bCs w:val="0"/>
        </w:rPr>
        <w:t>(本表无数据)</w:t>
      </w:r>
    </w:p>
    <w:p w14:paraId="1E303037">
      <w:pPr>
        <w:pStyle w:val="15"/>
        <w:adjustRightInd w:val="0"/>
        <w:snapToGrid w:val="0"/>
        <w:spacing w:line="560" w:lineRule="exact"/>
        <w:jc w:val="left"/>
        <w:rPr>
          <w:rFonts w:ascii="仿宋_GB2312" w:hAnsi="仿宋_GB2312" w:eastAsia="仿宋_GB2312" w:cs="仿宋_GB2312"/>
          <w:sz w:val="32"/>
          <w:szCs w:val="32"/>
        </w:rPr>
      </w:pPr>
      <w:bookmarkStart w:id="63" w:name="_Toc15396631"/>
      <w:r>
        <w:rPr>
          <w:rFonts w:hint="eastAsia" w:ascii="仿宋_GB2312" w:hAnsi="仿宋_GB2312" w:eastAsia="仿宋_GB2312" w:cs="仿宋_GB2312"/>
          <w:sz w:val="32"/>
          <w:szCs w:val="32"/>
        </w:rPr>
        <w:t>十三、</w:t>
      </w:r>
      <w:bookmarkEnd w:id="63"/>
      <w:r>
        <w:rPr>
          <w:rFonts w:hint="eastAsia" w:ascii="仿宋_GB2312" w:hAnsi="仿宋_GB2312" w:eastAsia="仿宋_GB2312" w:cs="仿宋_GB2312"/>
          <w:sz w:val="32"/>
          <w:szCs w:val="32"/>
        </w:rPr>
        <w:t>财政拨款“三公”经费支出决算表</w:t>
      </w:r>
    </w:p>
    <w:p w14:paraId="4D005BB8"/>
    <w:sectPr>
      <w:footerReference r:id="rId7" w:type="firs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908A3">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19F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34E19FC">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3FF21D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82ED">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13E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85413E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89FC">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8535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A785356">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3B7DC7A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AA38E">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A1D5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3BA1D5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302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99FE27"/>
    <w:multiLevelType w:val="singleLevel"/>
    <w:tmpl w:val="7899FE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CA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7D44"/>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2F796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4183"/>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C59BB"/>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0B4F"/>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3B6"/>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0259"/>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3641"/>
    <w:rsid w:val="00F73E63"/>
    <w:rsid w:val="00F754A1"/>
    <w:rsid w:val="00F81FD9"/>
    <w:rsid w:val="00F841AA"/>
    <w:rsid w:val="00F84A94"/>
    <w:rsid w:val="00F87E96"/>
    <w:rsid w:val="00FA23E8"/>
    <w:rsid w:val="00FD3CC1"/>
    <w:rsid w:val="00FF1E02"/>
    <w:rsid w:val="00FF30B4"/>
    <w:rsid w:val="012A5EC2"/>
    <w:rsid w:val="015975B8"/>
    <w:rsid w:val="02FEBE30"/>
    <w:rsid w:val="03EE3EEF"/>
    <w:rsid w:val="04916F1E"/>
    <w:rsid w:val="04C02B2D"/>
    <w:rsid w:val="061E35DE"/>
    <w:rsid w:val="066E0107"/>
    <w:rsid w:val="06E379EB"/>
    <w:rsid w:val="07996F6E"/>
    <w:rsid w:val="07DFD8BA"/>
    <w:rsid w:val="084D50EC"/>
    <w:rsid w:val="086F6DF4"/>
    <w:rsid w:val="09867E8F"/>
    <w:rsid w:val="0A2032A3"/>
    <w:rsid w:val="0B6121D2"/>
    <w:rsid w:val="0B756CA4"/>
    <w:rsid w:val="0C726B66"/>
    <w:rsid w:val="0CA8290A"/>
    <w:rsid w:val="0D35B1ED"/>
    <w:rsid w:val="0E254B6B"/>
    <w:rsid w:val="0F573ABA"/>
    <w:rsid w:val="0F98263C"/>
    <w:rsid w:val="101860EC"/>
    <w:rsid w:val="101F47CC"/>
    <w:rsid w:val="10C055FF"/>
    <w:rsid w:val="10D82AA5"/>
    <w:rsid w:val="11694EBD"/>
    <w:rsid w:val="11772AA4"/>
    <w:rsid w:val="118107EC"/>
    <w:rsid w:val="11D97925"/>
    <w:rsid w:val="12E24EE2"/>
    <w:rsid w:val="13D50BC4"/>
    <w:rsid w:val="14B17F78"/>
    <w:rsid w:val="15EA028F"/>
    <w:rsid w:val="165E0673"/>
    <w:rsid w:val="16B831D5"/>
    <w:rsid w:val="16BB723D"/>
    <w:rsid w:val="17E50567"/>
    <w:rsid w:val="182D1B36"/>
    <w:rsid w:val="186504BB"/>
    <w:rsid w:val="187220D4"/>
    <w:rsid w:val="19A445FC"/>
    <w:rsid w:val="19C25EB4"/>
    <w:rsid w:val="1B0F06C9"/>
    <w:rsid w:val="1B962B20"/>
    <w:rsid w:val="1BE8440E"/>
    <w:rsid w:val="1D155CEE"/>
    <w:rsid w:val="1D1638FE"/>
    <w:rsid w:val="1D837F36"/>
    <w:rsid w:val="1E312DEB"/>
    <w:rsid w:val="1E3E36E2"/>
    <w:rsid w:val="1E740ACF"/>
    <w:rsid w:val="1FF35744"/>
    <w:rsid w:val="1FF6BC77"/>
    <w:rsid w:val="2186353C"/>
    <w:rsid w:val="238259B4"/>
    <w:rsid w:val="23860B96"/>
    <w:rsid w:val="238C2FAF"/>
    <w:rsid w:val="240371BF"/>
    <w:rsid w:val="244F3473"/>
    <w:rsid w:val="24C97D99"/>
    <w:rsid w:val="259A582D"/>
    <w:rsid w:val="25A718F0"/>
    <w:rsid w:val="25BB59F6"/>
    <w:rsid w:val="260F557C"/>
    <w:rsid w:val="26146F7A"/>
    <w:rsid w:val="26970054"/>
    <w:rsid w:val="27E82345"/>
    <w:rsid w:val="281408E2"/>
    <w:rsid w:val="29FD04D3"/>
    <w:rsid w:val="2AD353B2"/>
    <w:rsid w:val="2BFF7BC6"/>
    <w:rsid w:val="2C8A61B5"/>
    <w:rsid w:val="2DF04E50"/>
    <w:rsid w:val="2E586DFA"/>
    <w:rsid w:val="2E6A1E3D"/>
    <w:rsid w:val="2F040D46"/>
    <w:rsid w:val="2F6B035B"/>
    <w:rsid w:val="2FAE5751"/>
    <w:rsid w:val="2FB1A395"/>
    <w:rsid w:val="2FD9A7D8"/>
    <w:rsid w:val="2FDBF714"/>
    <w:rsid w:val="2FF41AD8"/>
    <w:rsid w:val="30AB6865"/>
    <w:rsid w:val="319F7F4E"/>
    <w:rsid w:val="32BD1EF1"/>
    <w:rsid w:val="3304709D"/>
    <w:rsid w:val="338C31D7"/>
    <w:rsid w:val="33A773CB"/>
    <w:rsid w:val="349D6851"/>
    <w:rsid w:val="36AA5135"/>
    <w:rsid w:val="36BE0DA7"/>
    <w:rsid w:val="3748716F"/>
    <w:rsid w:val="376B6AA6"/>
    <w:rsid w:val="376D39B2"/>
    <w:rsid w:val="37E16F03"/>
    <w:rsid w:val="37F53A3B"/>
    <w:rsid w:val="389B6C89"/>
    <w:rsid w:val="38D469F0"/>
    <w:rsid w:val="39627CCD"/>
    <w:rsid w:val="397BAF1F"/>
    <w:rsid w:val="3AB79AF3"/>
    <w:rsid w:val="3AE834C0"/>
    <w:rsid w:val="3B694238"/>
    <w:rsid w:val="3B7EF35A"/>
    <w:rsid w:val="3B9FDB6C"/>
    <w:rsid w:val="3BF5BC2F"/>
    <w:rsid w:val="3C6B7ACC"/>
    <w:rsid w:val="3CEBA265"/>
    <w:rsid w:val="3D4F192D"/>
    <w:rsid w:val="3D98207C"/>
    <w:rsid w:val="3DEE7CF3"/>
    <w:rsid w:val="3E247654"/>
    <w:rsid w:val="3E4923C6"/>
    <w:rsid w:val="3E542EFD"/>
    <w:rsid w:val="3E740A63"/>
    <w:rsid w:val="3E78745D"/>
    <w:rsid w:val="3EE17838"/>
    <w:rsid w:val="3F55381A"/>
    <w:rsid w:val="3F7F7599"/>
    <w:rsid w:val="3FF4CAE0"/>
    <w:rsid w:val="3FF7B227"/>
    <w:rsid w:val="409E0719"/>
    <w:rsid w:val="440D3A32"/>
    <w:rsid w:val="44E268DA"/>
    <w:rsid w:val="450D13D7"/>
    <w:rsid w:val="45506656"/>
    <w:rsid w:val="46DD4877"/>
    <w:rsid w:val="46EF3D1B"/>
    <w:rsid w:val="47283FF1"/>
    <w:rsid w:val="486A6C7A"/>
    <w:rsid w:val="49340520"/>
    <w:rsid w:val="4A627F82"/>
    <w:rsid w:val="4AA942EE"/>
    <w:rsid w:val="4B0E749A"/>
    <w:rsid w:val="4B2477C4"/>
    <w:rsid w:val="4B4F25DA"/>
    <w:rsid w:val="4B64521D"/>
    <w:rsid w:val="4BE068DB"/>
    <w:rsid w:val="4D577224"/>
    <w:rsid w:val="4DBF1CEB"/>
    <w:rsid w:val="4DF0007C"/>
    <w:rsid w:val="4E784BED"/>
    <w:rsid w:val="4EAB630A"/>
    <w:rsid w:val="4ECE2238"/>
    <w:rsid w:val="4EF53299"/>
    <w:rsid w:val="4F833267"/>
    <w:rsid w:val="4FE9BD67"/>
    <w:rsid w:val="4FFB052F"/>
    <w:rsid w:val="50FD2451"/>
    <w:rsid w:val="51613267"/>
    <w:rsid w:val="51EC1C2C"/>
    <w:rsid w:val="522374D8"/>
    <w:rsid w:val="532146FB"/>
    <w:rsid w:val="537E6D0A"/>
    <w:rsid w:val="53C1498A"/>
    <w:rsid w:val="53F74C96"/>
    <w:rsid w:val="54F40EBF"/>
    <w:rsid w:val="55170BA8"/>
    <w:rsid w:val="553218C9"/>
    <w:rsid w:val="55340766"/>
    <w:rsid w:val="55BE7DBC"/>
    <w:rsid w:val="55F96820"/>
    <w:rsid w:val="567E1AA5"/>
    <w:rsid w:val="56E47B74"/>
    <w:rsid w:val="57175D52"/>
    <w:rsid w:val="57BD3DD4"/>
    <w:rsid w:val="581A5110"/>
    <w:rsid w:val="58E33856"/>
    <w:rsid w:val="5AF92295"/>
    <w:rsid w:val="5B250254"/>
    <w:rsid w:val="5BDD79E6"/>
    <w:rsid w:val="5BF561CA"/>
    <w:rsid w:val="5BFF5DFC"/>
    <w:rsid w:val="5C1B6CF8"/>
    <w:rsid w:val="5CD71FC4"/>
    <w:rsid w:val="5D1F11B5"/>
    <w:rsid w:val="5D695134"/>
    <w:rsid w:val="5DAE1B18"/>
    <w:rsid w:val="5DE7D9E5"/>
    <w:rsid w:val="5ECEC941"/>
    <w:rsid w:val="5FBF9FF3"/>
    <w:rsid w:val="5FCD4E2C"/>
    <w:rsid w:val="5FEF394A"/>
    <w:rsid w:val="5FF67715"/>
    <w:rsid w:val="61613B29"/>
    <w:rsid w:val="61C601D0"/>
    <w:rsid w:val="626D613C"/>
    <w:rsid w:val="62BF3928"/>
    <w:rsid w:val="63123FC2"/>
    <w:rsid w:val="63B3701E"/>
    <w:rsid w:val="6458542D"/>
    <w:rsid w:val="647F5392"/>
    <w:rsid w:val="656242DE"/>
    <w:rsid w:val="65E66580"/>
    <w:rsid w:val="66357735"/>
    <w:rsid w:val="664B1D71"/>
    <w:rsid w:val="664B4E8E"/>
    <w:rsid w:val="66C92692"/>
    <w:rsid w:val="67277B67"/>
    <w:rsid w:val="67484FBE"/>
    <w:rsid w:val="67AA3209"/>
    <w:rsid w:val="681C5BD6"/>
    <w:rsid w:val="68C11A4F"/>
    <w:rsid w:val="68CF190C"/>
    <w:rsid w:val="692F7608"/>
    <w:rsid w:val="69820ED9"/>
    <w:rsid w:val="698D0931"/>
    <w:rsid w:val="6A7FE5F3"/>
    <w:rsid w:val="6B053271"/>
    <w:rsid w:val="6BCA186A"/>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4D2B5A"/>
    <w:rsid w:val="712A28F1"/>
    <w:rsid w:val="715C0E4B"/>
    <w:rsid w:val="71992E7C"/>
    <w:rsid w:val="72233669"/>
    <w:rsid w:val="724C7BAF"/>
    <w:rsid w:val="72674FCB"/>
    <w:rsid w:val="72734D90"/>
    <w:rsid w:val="73160E6D"/>
    <w:rsid w:val="7332FE48"/>
    <w:rsid w:val="73AB61DA"/>
    <w:rsid w:val="73AD73D5"/>
    <w:rsid w:val="73B6EB34"/>
    <w:rsid w:val="73FA497D"/>
    <w:rsid w:val="73FC15F8"/>
    <w:rsid w:val="744731E5"/>
    <w:rsid w:val="74BBD01D"/>
    <w:rsid w:val="74ED5379"/>
    <w:rsid w:val="75DEEEC2"/>
    <w:rsid w:val="75E32345"/>
    <w:rsid w:val="76E3355F"/>
    <w:rsid w:val="76FF5125"/>
    <w:rsid w:val="77272285"/>
    <w:rsid w:val="776F6FFA"/>
    <w:rsid w:val="778769C8"/>
    <w:rsid w:val="77A75DCA"/>
    <w:rsid w:val="77DC22F5"/>
    <w:rsid w:val="783E271A"/>
    <w:rsid w:val="78616DE9"/>
    <w:rsid w:val="78E875D7"/>
    <w:rsid w:val="79086DAD"/>
    <w:rsid w:val="79D7FD79"/>
    <w:rsid w:val="79EE5BA4"/>
    <w:rsid w:val="7A894339"/>
    <w:rsid w:val="7AD284E8"/>
    <w:rsid w:val="7AFF7572"/>
    <w:rsid w:val="7B221666"/>
    <w:rsid w:val="7B6C7DFB"/>
    <w:rsid w:val="7BBFBED0"/>
    <w:rsid w:val="7BC3E394"/>
    <w:rsid w:val="7BD87EF8"/>
    <w:rsid w:val="7C1F3737"/>
    <w:rsid w:val="7C426229"/>
    <w:rsid w:val="7C4E2904"/>
    <w:rsid w:val="7CBFC87B"/>
    <w:rsid w:val="7CFE0F48"/>
    <w:rsid w:val="7D272ABC"/>
    <w:rsid w:val="7D7EC23E"/>
    <w:rsid w:val="7DC47A9D"/>
    <w:rsid w:val="7E8ADEBF"/>
    <w:rsid w:val="7EAA2CE0"/>
    <w:rsid w:val="7EEF11D3"/>
    <w:rsid w:val="7EFE4840"/>
    <w:rsid w:val="7F0971A6"/>
    <w:rsid w:val="7F1D62E7"/>
    <w:rsid w:val="7F3F679B"/>
    <w:rsid w:val="7F4FC4EF"/>
    <w:rsid w:val="7F5E4D54"/>
    <w:rsid w:val="7F6E0135"/>
    <w:rsid w:val="7F79F205"/>
    <w:rsid w:val="7F7C6129"/>
    <w:rsid w:val="7F875650"/>
    <w:rsid w:val="7FA30C79"/>
    <w:rsid w:val="7FA79C44"/>
    <w:rsid w:val="7FAF8ABF"/>
    <w:rsid w:val="7FB51C25"/>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solidFill>
                  <a:srgbClr val="000000"/>
                </a:solidFill>
                <a:uFillTx/>
              </a:rPr>
              <a:t>收、支决算总计</a:t>
            </a:r>
            <a:r>
              <a:rPr lang="zh-CN" altLang="en-US" sz="1000">
                <a:solidFill>
                  <a:srgbClr val="000000"/>
                </a:solidFill>
                <a:uFillTx/>
                <a:latin typeface="宋体" panose="02010600030101010101" charset="-122"/>
              </a:rPr>
              <a:t>变动</a:t>
            </a:r>
            <a:r>
              <a:rPr lang="zh-CN" altLang="en-US" sz="1000">
                <a:solidFill>
                  <a:srgbClr val="000000"/>
                </a:solidFill>
                <a:uFillTx/>
              </a:rPr>
              <a:t>情况图</a:t>
            </a:r>
            <a:endParaRPr lang="zh-CN" altLang="en-US" sz="1000">
              <a:solidFill>
                <a:srgbClr val="000000"/>
              </a:solidFill>
              <a:uFillTx/>
            </a:endParaRPr>
          </a:p>
        </c:rich>
      </c:tx>
      <c:layout>
        <c:manualLayout>
          <c:xMode val="edge"/>
          <c:yMode val="edge"/>
          <c:x val="0.371389291752656"/>
          <c:y val="0.031683270001027"/>
        </c:manualLayout>
      </c:layout>
      <c:overlay val="0"/>
      <c:spPr>
        <a:noFill/>
        <a:ln w="19013">
          <a:noFill/>
        </a:ln>
      </c:spPr>
    </c:title>
    <c:autoTitleDeleted val="0"/>
    <c:plotArea>
      <c:layout>
        <c:manualLayout>
          <c:layoutTarget val="inner"/>
          <c:xMode val="edge"/>
          <c:yMode val="edge"/>
          <c:x val="0.184810126582279"/>
          <c:y val="0.252747252747253"/>
          <c:w val="0.792405063291139"/>
          <c:h val="0.439560439560441"/>
        </c:manualLayout>
      </c:layout>
      <c:barChart>
        <c:barDir val="col"/>
        <c:grouping val="clustered"/>
        <c:varyColors val="0"/>
        <c:ser>
          <c:idx val="0"/>
          <c:order val="0"/>
          <c:tx>
            <c:strRef>
              <c:f>Sheet1!$A$2</c:f>
              <c:strCache>
                <c:ptCount val="1"/>
                <c:pt idx="0">
                  <c:v/>
                </c:pt>
              </c:strCache>
            </c:strRef>
          </c:tx>
          <c:spPr>
            <a:solidFill>
              <a:srgbClr val="9999FF"/>
            </a:solidFill>
            <a:ln w="9506">
              <a:solidFill>
                <a:srgbClr val="000000"/>
              </a:solidFill>
              <a:prstDash val="solid"/>
            </a:ln>
          </c:spPr>
          <c:invertIfNegative val="0"/>
          <c:dLbls>
            <c:dLbl>
              <c:idx val="0"/>
              <c:layout>
                <c:manualLayout>
                  <c:x val="0"/>
                  <c:y val="-0.0194104960460101"/>
                </c:manualLayout>
              </c:layout>
              <c:tx>
                <c:rich>
                  <a:bodyPr rot="0" spcFirstLastPara="0" vertOverflow="ellipsis" vert="horz" wrap="square" lIns="38100" tIns="19050" rIns="38100" bIns="19050" anchor="ctr" anchorCtr="1"/>
                  <a:lstStyle/>
                  <a:p>
                    <a:pP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900"/>
                      <a:t>2023</a:t>
                    </a:r>
                    <a:r>
                      <a:rPr lang="zh-CN" altLang="en-US" sz="900"/>
                      <a:t>年</a:t>
                    </a:r>
                    <a:r>
                      <a:rPr lang="en-US" altLang="zh-CN" sz="900"/>
                      <a:t>, 3754.49</a:t>
                    </a:r>
                    <a:endParaRPr lang="en-US" altLang="zh-CN" sz="900"/>
                  </a:p>
                </c:rich>
              </c:tx>
              <c:dLblPos val="outEnd"/>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020698892000487"/>
                  <c:y val="-0.021370418982593"/>
                </c:manualLayout>
              </c:layout>
              <c:tx>
                <c:rich>
                  <a:bodyPr rot="0" spcFirstLastPara="0" vertOverflow="ellipsis" vert="horz" wrap="square" lIns="38100" tIns="19050" rIns="38100" bIns="19050" anchor="ctr" anchorCtr="1"/>
                  <a:lstStyle/>
                  <a:p>
                    <a:pP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sz="880"/>
                      <a:t>2024</a:t>
                    </a:r>
                    <a:r>
                      <a:rPr lang="zh-CN" altLang="en-US" sz="880"/>
                      <a:t>年</a:t>
                    </a:r>
                    <a:r>
                      <a:rPr lang="en-US" altLang="zh-CN" sz="880"/>
                      <a:t>, 9539.65</a:t>
                    </a:r>
                    <a:endParaRPr lang="en-US" altLang="zh-CN" sz="880"/>
                  </a:p>
                </c:rich>
              </c:tx>
              <c:dLblPos val="outEnd"/>
              <c:showLegendKey val="0"/>
              <c:showVal val="1"/>
              <c:showCatName val="1"/>
              <c:showSerName val="0"/>
              <c:showPercent val="0"/>
              <c:showBubbleSize val="0"/>
              <c:extLst>
                <c:ext xmlns:c15="http://schemas.microsoft.com/office/drawing/2012/chart" uri="{CE6537A1-D6FC-4f65-9D91-7224C49458BB}">
                  <c15:layout/>
                </c:ext>
              </c:extLst>
            </c:dLbl>
            <c:spPr>
              <a:noFill/>
              <a:ln w="19013">
                <a:noFill/>
              </a:ln>
              <a:effectLst/>
            </c:spPr>
            <c:txPr>
              <a:bodyPr rot="0" spcFirstLastPara="0" vertOverflow="ellipsis" vert="horz" wrap="square" lIns="38100" tIns="19050" rIns="38100" bIns="19050" anchor="ctr" anchorCtr="1">
                <a:spAutoFit/>
              </a:bodyPr>
              <a:lstStyle/>
              <a:p>
                <a:pP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2023年</c:v>
                </c:pt>
                <c:pt idx="1">
                  <c:v>2024年</c:v>
                </c:pt>
              </c:strCache>
            </c:strRef>
          </c:cat>
          <c:val>
            <c:numRef>
              <c:f>Sheet1!$B$2:$C$2</c:f>
              <c:numCache>
                <c:formatCode>General</c:formatCode>
                <c:ptCount val="2"/>
                <c:pt idx="0">
                  <c:v>3754.49</c:v>
                </c:pt>
                <c:pt idx="1">
                  <c:v>9539.65</c:v>
                </c:pt>
              </c:numCache>
            </c:numRef>
          </c:val>
        </c:ser>
        <c:dLbls>
          <c:showLegendKey val="0"/>
          <c:showVal val="1"/>
          <c:showCatName val="1"/>
          <c:showSerName val="0"/>
          <c:showPercent val="0"/>
          <c:showBubbleSize val="0"/>
        </c:dLbls>
        <c:gapWidth val="150"/>
        <c:axId val="50356224"/>
        <c:axId val="50359680"/>
      </c:barChart>
      <c:catAx>
        <c:axId val="50356224"/>
        <c:scaling>
          <c:orientation val="minMax"/>
        </c:scaling>
        <c:delete val="0"/>
        <c:axPos val="b"/>
        <c:title>
          <c:tx>
            <c:rich>
              <a:bodyPr rot="0" spcFirstLastPara="0" vertOverflow="ellipsis" vert="horz" wrap="square" anchor="ctr" anchorCtr="1"/>
              <a:lstStyle/>
              <a:p>
                <a:pPr algn="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900">
                    <a:solidFill>
                      <a:srgbClr val="000000"/>
                    </a:solidFill>
                    <a:uFillTx/>
                    <a:latin typeface="宋体" panose="02010600030101010101" charset="-122"/>
                  </a:rPr>
                  <a:t>年份</a:t>
                </a:r>
                <a:endParaRPr lang="zh-CN" altLang="en-US" sz="900">
                  <a:solidFill>
                    <a:srgbClr val="000000"/>
                  </a:solidFill>
                  <a:uFillTx/>
                  <a:latin typeface="宋体" panose="02010600030101010101" charset="-122"/>
                </a:endParaRPr>
              </a:p>
            </c:rich>
          </c:tx>
          <c:layout>
            <c:manualLayout>
              <c:xMode val="edge"/>
              <c:yMode val="edge"/>
              <c:x val="0.545181381169403"/>
              <c:y val="0.776214439765843"/>
            </c:manualLayout>
          </c:layout>
          <c:overlay val="0"/>
          <c:spPr>
            <a:noFill/>
            <a:ln w="19013">
              <a:noFill/>
            </a:ln>
          </c:spPr>
        </c:title>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900" b="0" i="0" u="none" strike="noStrike" kern="1200" cap="none" spc="0" normalizeH="0" baseline="0">
                <a:solidFill>
                  <a:srgbClr val="000000"/>
                </a:solidFill>
                <a:uFill>
                  <a:solidFill>
                    <a:srgbClr val="000000"/>
                  </a:solidFill>
                </a:uFill>
                <a:latin typeface="宋体" panose="02010600030101010101" charset="-122"/>
                <a:ea typeface="宋体" panose="02010600030101010101" charset="-122"/>
                <a:cs typeface="宋体" panose="02010600030101010101" charset="-122"/>
              </a:defRPr>
            </a:pPr>
          </a:p>
        </c:txPr>
        <c:crossAx val="50359680"/>
        <c:crosses val="autoZero"/>
        <c:auto val="1"/>
        <c:lblAlgn val="ctr"/>
        <c:lblOffset val="100"/>
        <c:tickLblSkip val="1"/>
        <c:noMultiLvlLbl val="0"/>
      </c:catAx>
      <c:valAx>
        <c:axId val="50359680"/>
        <c:scaling>
          <c:orientation val="minMax"/>
        </c:scaling>
        <c:delete val="0"/>
        <c:axPos val="l"/>
        <c:majorGridlines>
          <c:spPr>
            <a:ln w="2377" cap="flat" cmpd="sng" algn="ctr">
              <a:solidFill>
                <a:srgbClr val="000000"/>
              </a:solidFill>
              <a:prstDash val="solid"/>
              <a:round/>
            </a:ln>
          </c:spPr>
        </c:majorGridlines>
        <c:title>
          <c:tx>
            <c:rich>
              <a:bodyPr rot="-5400000" spcFirstLastPara="0" vertOverflow="ellipsis" vert="horz" wrap="square" anchor="ctr" anchorCtr="1"/>
              <a:lstStyle/>
              <a:p>
                <a:pPr algn="r">
                  <a:defRPr lang="zh-CN" sz="6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880"/>
                  <a:t>金额</a:t>
                </a:r>
                <a:r>
                  <a:rPr lang="en-US" altLang="zh-CN" sz="880"/>
                  <a:t>/</a:t>
                </a:r>
                <a:r>
                  <a:rPr lang="zh-CN" altLang="en-US" sz="880"/>
                  <a:t>万元</a:t>
                </a:r>
                <a:endParaRPr lang="zh-CN" altLang="en-US" sz="880"/>
              </a:p>
            </c:rich>
          </c:tx>
          <c:layout>
            <c:manualLayout>
              <c:xMode val="edge"/>
              <c:yMode val="edge"/>
              <c:x val="0.0693676434550351"/>
              <c:y val="0.332494608195543"/>
            </c:manualLayout>
          </c:layout>
          <c:overlay val="0"/>
          <c:spPr>
            <a:noFill/>
            <a:ln w="19013">
              <a:noFill/>
            </a:ln>
          </c:spPr>
        </c:title>
        <c:numFmt formatCode="General" sourceLinked="1"/>
        <c:majorTickMark val="in"/>
        <c:minorTickMark val="none"/>
        <c:tickLblPos val="nextTo"/>
        <c:spPr>
          <a:ln w="2377" cap="flat" cmpd="sng" algn="ctr">
            <a:solidFill>
              <a:srgbClr val="000000"/>
            </a:solidFill>
            <a:prstDash val="solid"/>
            <a:round/>
          </a:ln>
        </c:spPr>
        <c:txPr>
          <a:bodyPr rot="0" spcFirstLastPara="0" vertOverflow="ellipsis" vert="horz" wrap="square" anchor="ctr" anchorCtr="1"/>
          <a:lstStyle/>
          <a:p>
            <a:pPr>
              <a:defRPr lang="zh-CN" sz="900" b="0" i="0" u="none" strike="noStrike" kern="1200" cap="none" spc="0" normalizeH="0" baseline="0">
                <a:solidFill>
                  <a:srgbClr val="000000"/>
                </a:solidFill>
                <a:uFill>
                  <a:solidFill>
                    <a:srgbClr val="000000"/>
                  </a:solidFill>
                </a:uFill>
                <a:latin typeface="宋体" panose="02010600030101010101" charset="-122"/>
                <a:ea typeface="宋体" panose="02010600030101010101" charset="-122"/>
                <a:cs typeface="宋体" panose="02010600030101010101" charset="-122"/>
              </a:defRPr>
            </a:pPr>
          </a:p>
        </c:txPr>
        <c:crossAx val="50356224"/>
        <c:crosses val="autoZero"/>
        <c:crossBetween val="between"/>
      </c:valAx>
      <c:spPr>
        <a:solidFill>
          <a:srgbClr val="C0C0C0"/>
        </a:solidFill>
        <a:ln w="9506">
          <a:solidFill>
            <a:srgbClr val="808080"/>
          </a:solidFill>
          <a:prstDash val="solid"/>
        </a:ln>
      </c:spPr>
    </c:plotArea>
    <c:plotVisOnly val="1"/>
    <c:dispBlanksAs val="gap"/>
    <c:showDLblsOverMax val="0"/>
    <c:extLst>
      <c:ext uri="{0b15fc19-7d7d-44ad-8c2d-2c3a37ce22c3}">
        <chartProps xmlns="https://web.wps.cn/et/2018/main" chartId="{d6ee6b56-a781-4810-9997-b9ee94fa2aac}"/>
      </c:ext>
    </c:extLst>
  </c:chart>
  <c:spPr>
    <a:noFill/>
    <a:ln w="6350" cap="flat" cmpd="sng" algn="ctr">
      <a:noFill/>
      <a:prstDash val="solid"/>
      <a:round/>
    </a:ln>
  </c:spPr>
  <c:txPr>
    <a:bodyPr/>
    <a:lstStyle/>
    <a:p>
      <a:pPr>
        <a:defRPr lang="zh-CN" sz="6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t>收入决算结构图</a:t>
            </a:r>
            <a:endParaRPr lang="zh-CN" altLang="en-US" sz="1000"/>
          </a:p>
        </c:rich>
      </c:tx>
      <c:layout>
        <c:manualLayout>
          <c:xMode val="edge"/>
          <c:yMode val="edge"/>
          <c:x val="0.455221959623143"/>
          <c:y val="0.122277866910221"/>
        </c:manualLayout>
      </c:layout>
      <c:overlay val="0"/>
      <c:spPr>
        <a:noFill/>
        <a:ln w="19016">
          <a:noFill/>
        </a:ln>
      </c:spPr>
    </c:title>
    <c:autoTitleDeleted val="0"/>
    <c:plotArea>
      <c:layout>
        <c:manualLayout>
          <c:layoutTarget val="inner"/>
          <c:xMode val="edge"/>
          <c:yMode val="edge"/>
          <c:x val="0.439971024595051"/>
          <c:y val="0.334045801526718"/>
          <c:w val="0.229704445717029"/>
          <c:h val="0.585307969315603"/>
        </c:manualLayout>
      </c:layout>
      <c:pieChart>
        <c:varyColors val="1"/>
        <c:ser>
          <c:idx val="0"/>
          <c:order val="0"/>
          <c:tx>
            <c:strRef>
              <c:f>Sheet1!$A$2</c:f>
              <c:strCache>
                <c:ptCount val="1"/>
                <c:pt idx="0">
                  <c:v/>
                </c:pt>
              </c:strCache>
            </c:strRef>
          </c:tx>
          <c:spPr>
            <a:solidFill>
              <a:srgbClr val="9999FF"/>
            </a:solidFill>
            <a:ln w="9508">
              <a:solidFill>
                <a:srgbClr val="000000"/>
              </a:solidFill>
              <a:prstDash val="solid"/>
            </a:ln>
          </c:spPr>
          <c:explosion val="0"/>
          <c:dPt>
            <c:idx val="0"/>
            <c:bubble3D val="0"/>
            <c:spPr>
              <a:solidFill>
                <a:srgbClr val="9999FF"/>
              </a:solidFill>
              <a:ln w="9508">
                <a:solidFill>
                  <a:srgbClr val="000000"/>
                </a:solidFill>
                <a:prstDash val="solid"/>
              </a:ln>
            </c:spPr>
          </c:dPt>
          <c:dPt>
            <c:idx val="1"/>
            <c:bubble3D val="0"/>
            <c:spPr>
              <a:solidFill>
                <a:srgbClr val="993366"/>
              </a:solidFill>
              <a:ln w="9508">
                <a:solidFill>
                  <a:srgbClr val="000000"/>
                </a:solidFill>
                <a:prstDash val="solid"/>
              </a:ln>
            </c:spPr>
          </c:dPt>
          <c:dPt>
            <c:idx val="2"/>
            <c:bubble3D val="0"/>
            <c:spPr>
              <a:solidFill>
                <a:srgbClr val="9999FF"/>
              </a:solidFill>
              <a:ln w="9508">
                <a:solidFill>
                  <a:srgbClr val="000000"/>
                </a:solidFill>
                <a:prstDash val="solid"/>
              </a:ln>
            </c:spPr>
          </c:dPt>
          <c:dLbls>
            <c:dLbl>
              <c:idx val="0"/>
              <c:layout>
                <c:manualLayout>
                  <c:x val="-0.506923136361262"/>
                  <c:y val="0.4440891714899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altLang="en-US" sz="1000"/>
                      <a:t>政府性基金预算</a:t>
                    </a:r>
                    <a:r>
                      <a:rPr lang="en-US" altLang="zh-CN" sz="1000"/>
                      <a:t>, 52.47%</a:t>
                    </a:r>
                    <a:endParaRPr lang="en-US" altLang="zh-CN" sz="1000"/>
                  </a:p>
                </c:rich>
              </c:tx>
              <c:numFmt formatCode="0%" sourceLinked="0"/>
              <c:spPr>
                <a:noFill/>
                <a:ln w="19016">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29311957247829"/>
                      <c:h val="0.237184115523466"/>
                    </c:manualLayout>
                  </c15:layout>
                </c:ext>
              </c:extLst>
            </c:dLbl>
            <c:dLbl>
              <c:idx val="1"/>
              <c:layout>
                <c:manualLayout>
                  <c:x val="-0.276537051719935"/>
                  <c:y val="-0.5805054151624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t>一般公共预算财政拨款收入</a:t>
                    </a:r>
                    <a:r>
                      <a:rPr lang="en-US" altLang="zh-CN" sz="1000"/>
                      <a:t>, 26.18%</a:t>
                    </a:r>
                    <a:endParaRPr lang="en-US" altLang="zh-CN" sz="1000"/>
                  </a:p>
                </c:rich>
              </c:tx>
              <c:numFmt formatCode="0%" sourceLinked="0"/>
              <c:spPr>
                <a:noFill/>
                <a:ln w="19016">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416165664662659"/>
                      <c:h val="0.223826714801444"/>
                    </c:manualLayout>
                  </c15:layout>
                </c:ext>
              </c:extLst>
            </c:dLbl>
            <c:dLbl>
              <c:idx val="2"/>
              <c:layout>
                <c:manualLayout>
                  <c:x val="-0.143479024955146"/>
                  <c:y val="0.18832122579561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sz="1000"/>
                      <a:t>经营收入,  20</a:t>
                    </a:r>
                    <a:r>
                      <a:rPr lang="en-US" altLang="zh-CN" sz="1000"/>
                      <a:t>.08</a:t>
                    </a:r>
                    <a:r>
                      <a:rPr sz="1000"/>
                      <a:t>%</a:t>
                    </a:r>
                    <a:endParaRPr sz="1000"/>
                  </a:p>
                </c:rich>
              </c:tx>
              <c:numFmt formatCode="0%" sourceLinked="0"/>
              <c:spPr>
                <a:noFill/>
                <a:ln w="19016">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extLst>
                <c:ext xmlns:c15="http://schemas.microsoft.com/office/drawing/2012/chart" uri="{CE6537A1-D6FC-4f65-9D91-7224C49458BB}">
                  <c15:layout>
                    <c:manualLayout>
                      <c:w val="0.345223780895124"/>
                      <c:h val="0.177617328519856"/>
                    </c:manualLayout>
                  </c15:layout>
                </c:ext>
              </c:extLst>
            </c:dLbl>
            <c:numFmt formatCode="0%" sourceLinked="0"/>
            <c:spPr>
              <a:noFill/>
              <a:ln w="19016">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Sheet1!$B$1:$D$1</c:f>
              <c:strCache>
                <c:ptCount val="3"/>
                <c:pt idx="0">
                  <c:v>一般公共预算财政拨款收入</c:v>
                </c:pt>
                <c:pt idx="1">
                  <c:v>政府性基金收入</c:v>
                </c:pt>
                <c:pt idx="2">
                  <c:v>经营收入</c:v>
                </c:pt>
              </c:strCache>
            </c:strRef>
          </c:cat>
          <c:val>
            <c:numRef>
              <c:f>Sheet1!$B$2:$D$2</c:f>
              <c:numCache>
                <c:formatCode>General</c:formatCode>
                <c:ptCount val="3"/>
                <c:pt idx="0">
                  <c:v>2497.6</c:v>
                </c:pt>
                <c:pt idx="1">
                  <c:v>5005.88</c:v>
                </c:pt>
                <c:pt idx="2">
                  <c:v>1916.17</c:v>
                </c:pt>
              </c:numCache>
            </c:numRef>
          </c:val>
        </c:ser>
        <c:dLbls>
          <c:showLegendKey val="0"/>
          <c:showVal val="1"/>
          <c:showCatName val="1"/>
          <c:showSerName val="0"/>
          <c:showPercent val="1"/>
          <c:showBubbleSize val="0"/>
          <c:showLeaderLines val="0"/>
        </c:dLbls>
        <c:firstSliceAng val="0"/>
      </c:pieChart>
      <c:spPr>
        <a:solidFill>
          <a:srgbClr val="C0C0C0"/>
        </a:solidFill>
        <a:ln w="9508">
          <a:solidFill>
            <a:srgbClr val="808080"/>
          </a:solidFill>
          <a:prstDash val="solid"/>
        </a:ln>
      </c:spPr>
    </c:plotArea>
    <c:legend>
      <c:legendPos val="r"/>
      <c:layout>
        <c:manualLayout>
          <c:xMode val="edge"/>
          <c:yMode val="edge"/>
          <c:x val="0.712371261943169"/>
          <c:y val="0.0432595573440644"/>
          <c:w val="0.273234892666584"/>
          <c:h val="0.608987256874581"/>
        </c:manualLayout>
      </c:layout>
      <c:overlay val="0"/>
      <c:spPr>
        <a:noFill/>
        <a:ln w="2377">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3471215-63be-43a7-bb5c-ec6728fc4a28}"/>
      </c:ext>
    </c:extLst>
  </c:chart>
  <c:spPr>
    <a:noFill/>
    <a:ln w="6350"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t>一般公共预算财政拨款支出决算结构图</a:t>
            </a:r>
            <a:endParaRPr lang="zh-CN" altLang="en-US" sz="1000"/>
          </a:p>
        </c:rich>
      </c:tx>
      <c:layout>
        <c:manualLayout>
          <c:xMode val="edge"/>
          <c:yMode val="edge"/>
          <c:x val="0.311427044779761"/>
          <c:y val="0.0638089005235602"/>
        </c:manualLayout>
      </c:layout>
      <c:overlay val="0"/>
      <c:spPr>
        <a:noFill/>
        <a:ln w="19014">
          <a:noFill/>
        </a:ln>
      </c:spPr>
    </c:title>
    <c:autoTitleDeleted val="0"/>
    <c:plotArea>
      <c:layout>
        <c:manualLayout>
          <c:layoutTarget val="inner"/>
          <c:xMode val="edge"/>
          <c:yMode val="edge"/>
          <c:x val="0.192427239333145"/>
          <c:y val="0.269593785156444"/>
          <c:w val="0.323727908418678"/>
          <c:h val="0.533988845441016"/>
        </c:manualLayout>
      </c:layout>
      <c:pieChart>
        <c:varyColors val="1"/>
        <c:ser>
          <c:idx val="0"/>
          <c:order val="0"/>
          <c:tx>
            <c:strRef>
              <c:f>Sheet1!$A$2</c:f>
              <c:strCache>
                <c:ptCount val="1"/>
                <c:pt idx="0">
                  <c:v/>
                </c:pt>
              </c:strCache>
            </c:strRef>
          </c:tx>
          <c:spPr>
            <a:solidFill>
              <a:srgbClr val="9999FF"/>
            </a:solidFill>
            <a:ln w="9507">
              <a:solidFill>
                <a:srgbClr val="000000"/>
              </a:solidFill>
              <a:prstDash val="solid"/>
            </a:ln>
          </c:spPr>
          <c:explosion val="0"/>
          <c:dPt>
            <c:idx val="0"/>
            <c:bubble3D val="0"/>
            <c:spPr>
              <a:solidFill>
                <a:srgbClr val="9999FF"/>
              </a:solidFill>
              <a:ln w="9507">
                <a:solidFill>
                  <a:srgbClr val="000000"/>
                </a:solidFill>
                <a:prstDash val="solid"/>
              </a:ln>
            </c:spPr>
          </c:dPt>
          <c:dPt>
            <c:idx val="1"/>
            <c:bubble3D val="0"/>
            <c:spPr>
              <a:solidFill>
                <a:srgbClr val="993366"/>
              </a:solidFill>
              <a:ln w="9507">
                <a:solidFill>
                  <a:srgbClr val="000000"/>
                </a:solidFill>
                <a:prstDash val="solid"/>
              </a:ln>
            </c:spPr>
          </c:dPt>
          <c:dPt>
            <c:idx val="2"/>
            <c:bubble3D val="0"/>
            <c:spPr>
              <a:solidFill>
                <a:srgbClr val="FFFFCC"/>
              </a:solidFill>
              <a:ln w="9507">
                <a:solidFill>
                  <a:srgbClr val="000000"/>
                </a:solidFill>
                <a:prstDash val="solid"/>
              </a:ln>
            </c:spPr>
          </c:dPt>
          <c:dLbls>
            <c:dLbl>
              <c:idx val="0"/>
              <c:layout>
                <c:manualLayout>
                  <c:x val="0.0718856891172937"/>
                  <c:y val="0.046428346806645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altLang="en-US"/>
                      <a:t>基本支出</a:t>
                    </a:r>
                    <a:r>
                      <a:rPr lang="en-US"/>
                      <a:t>, 21</a:t>
                    </a:r>
                    <a:r>
                      <a:rPr lang="en-US" altLang="zh-CN"/>
                      <a:t>.4</a:t>
                    </a:r>
                    <a:r>
                      <a:rPr lang="en-US"/>
                      <a:t>%</a:t>
                    </a:r>
                    <a:endParaRPr 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104193800468872"/>
                  <c:y val="0"/>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altLang="en-US"/>
                      <a:t>项目支出</a:t>
                    </a:r>
                    <a:r>
                      <a:rPr lang="en-US"/>
                      <a:t>, 55</a:t>
                    </a:r>
                    <a:r>
                      <a:rPr lang="en-US" altLang="zh-CN"/>
                      <a:t>.36</a:t>
                    </a:r>
                    <a:r>
                      <a:rPr lang="en-US"/>
                      <a:t>%</a:t>
                    </a:r>
                    <a:endParaRPr lang="en-US"/>
                  </a:p>
                </c:rich>
              </c:tx>
              <c:dLblPos val="bestFit"/>
              <c:showLegendKey val="0"/>
              <c:showVal val="1"/>
              <c:showCatName val="0"/>
              <c:showSerName val="0"/>
              <c:showPercent val="1"/>
              <c:showBubbleSize val="0"/>
              <c:extLst>
                <c:ext xmlns:c15="http://schemas.microsoft.com/office/drawing/2012/chart" uri="{CE6537A1-D6FC-4f65-9D91-7224C49458BB}">
                  <c15:layout>
                    <c:manualLayout>
                      <c:w val="0.244204219848919"/>
                      <c:h val="0.176701570680628"/>
                    </c:manualLayout>
                  </c15:layout>
                </c:ext>
              </c:extLst>
            </c:dLbl>
            <c:dLbl>
              <c:idx val="2"/>
              <c:layout>
                <c:manualLayout>
                  <c:x val="-0.0792940161493079"/>
                  <c:y val="0.0214707048875899"/>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altLang="en-US"/>
                      <a:t>经营支出</a:t>
                    </a:r>
                    <a:r>
                      <a:rPr lang="en-US" altLang="zh-CN"/>
                      <a:t>, 23.23%</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 sourceLinked="0"/>
            <c:spPr>
              <a:noFill/>
              <a:ln w="19014">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基本支出</c:v>
                </c:pt>
                <c:pt idx="1">
                  <c:v>项目支出</c:v>
                </c:pt>
                <c:pt idx="2">
                  <c:v>经营支出</c:v>
                </c:pt>
              </c:strCache>
            </c:strRef>
          </c:cat>
          <c:val>
            <c:numRef>
              <c:f>Sheet1!$B$2:$D$2</c:f>
              <c:numCache>
                <c:formatCode>General</c:formatCode>
                <c:ptCount val="3"/>
                <c:pt idx="0">
                  <c:v>2125.26</c:v>
                </c:pt>
                <c:pt idx="1">
                  <c:v>5498.22</c:v>
                </c:pt>
                <c:pt idx="2">
                  <c:v>2307.02</c:v>
                </c:pt>
              </c:numCache>
            </c:numRef>
          </c:val>
        </c:ser>
        <c:dLbls>
          <c:showLegendKey val="0"/>
          <c:showVal val="1"/>
          <c:showCatName val="0"/>
          <c:showSerName val="0"/>
          <c:showPercent val="1"/>
          <c:showBubbleSize val="0"/>
          <c:showLeaderLines val="1"/>
        </c:dLbls>
        <c:firstSliceAng val="0"/>
      </c:pieChart>
      <c:spPr>
        <a:solidFill>
          <a:srgbClr val="C0C0C0"/>
        </a:solidFill>
        <a:ln w="9507">
          <a:solidFill>
            <a:srgbClr val="808080"/>
          </a:solidFill>
          <a:prstDash val="solid"/>
        </a:ln>
      </c:spPr>
    </c:plotArea>
    <c:legend>
      <c:legendPos val="r"/>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2"/>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manualLayout>
          <c:xMode val="edge"/>
          <c:yMode val="edge"/>
          <c:x val="0.599656383513101"/>
          <c:y val="0.335383676484759"/>
          <c:w val="0.385646080394272"/>
          <c:h val="0.534326614081215"/>
        </c:manualLayout>
      </c:layout>
      <c:overlay val="0"/>
      <c:spPr>
        <a:noFill/>
        <a:ln w="2377">
          <a:solidFill>
            <a:srgbClr val="000000"/>
          </a:solidFill>
          <a:prstDash val="soli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08a8bd5-ee82-49f8-a773-0f80eedbbdf1}"/>
      </c:ext>
    </c:extLst>
  </c:chart>
  <c:spPr>
    <a:noFill/>
    <a:ln w="6350" cap="flat" cmpd="sng" algn="ctr">
      <a:noFill/>
      <a:prstDash val="solid"/>
      <a:round/>
    </a:ln>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solidFill>
                  <a:srgbClr val="000000"/>
                </a:solidFill>
                <a:uFillTx/>
                <a:latin typeface="宋体" panose="02010600030101010101" charset="-122"/>
              </a:rPr>
              <a:t>财政拨款收、支决算总计变动变动情况图</a:t>
            </a:r>
            <a:endParaRPr lang="zh-CN" altLang="en-US" sz="1000">
              <a:solidFill>
                <a:srgbClr val="000000"/>
              </a:solidFill>
              <a:uFillTx/>
              <a:latin typeface="宋体" panose="02010600030101010101" charset="-122"/>
            </a:endParaRPr>
          </a:p>
        </c:rich>
      </c:tx>
      <c:layout>
        <c:manualLayout>
          <c:xMode val="edge"/>
          <c:yMode val="edge"/>
          <c:x val="0.297731407169609"/>
          <c:y val="0.0236839248887442"/>
        </c:manualLayout>
      </c:layout>
      <c:overlay val="0"/>
      <c:spPr>
        <a:noFill/>
        <a:ln w="19024">
          <a:noFill/>
        </a:ln>
      </c:spPr>
    </c:title>
    <c:autoTitleDeleted val="0"/>
    <c:plotArea>
      <c:layout>
        <c:manualLayout>
          <c:layoutTarget val="inner"/>
          <c:xMode val="edge"/>
          <c:yMode val="edge"/>
          <c:x val="0.185593008739076"/>
          <c:y val="0.236726411903957"/>
          <c:w val="0.752983770287141"/>
          <c:h val="0.431653703077444"/>
        </c:manualLayout>
      </c:layout>
      <c:barChart>
        <c:barDir val="col"/>
        <c:grouping val="clustered"/>
        <c:varyColors val="0"/>
        <c:ser>
          <c:idx val="0"/>
          <c:order val="0"/>
          <c:tx>
            <c:strRef>
              <c:f>Sheet1!$A$2</c:f>
              <c:strCache>
                <c:ptCount val="1"/>
                <c:pt idx="0">
                  <c:v/>
                </c:pt>
              </c:strCache>
            </c:strRef>
          </c:tx>
          <c:spPr>
            <a:solidFill>
              <a:srgbClr val="9999FF"/>
            </a:solidFill>
            <a:ln w="9512">
              <a:solidFill>
                <a:srgbClr val="000000"/>
              </a:solidFill>
              <a:prstDash val="solid"/>
            </a:ln>
          </c:spPr>
          <c:invertIfNegative val="0"/>
          <c:dLbls>
            <c:spPr>
              <a:noFill/>
              <a:ln w="19024">
                <a:noFill/>
              </a:ln>
              <a:effectLst/>
            </c:spPr>
            <c:txPr>
              <a:bodyPr rot="0" spcFirstLastPara="0" vertOverflow="ellipsis" vert="horz" wrap="square" lIns="38100" tIns="19050" rIns="38100" bIns="19050" anchor="ctr" anchorCtr="1">
                <a:spAutoFit/>
              </a:bodyPr>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2023年</c:v>
                </c:pt>
                <c:pt idx="1">
                  <c:v>2024年</c:v>
                </c:pt>
              </c:strCache>
            </c:strRef>
          </c:cat>
          <c:val>
            <c:numRef>
              <c:f>Sheet1!$B$2:$C$2</c:f>
              <c:numCache>
                <c:formatCode>General</c:formatCode>
                <c:ptCount val="2"/>
                <c:pt idx="0">
                  <c:v>4058.4</c:v>
                </c:pt>
                <c:pt idx="1">
                  <c:v>7503.48</c:v>
                </c:pt>
              </c:numCache>
            </c:numRef>
          </c:val>
        </c:ser>
        <c:dLbls>
          <c:showLegendKey val="0"/>
          <c:showVal val="1"/>
          <c:showCatName val="1"/>
          <c:showSerName val="0"/>
          <c:showPercent val="0"/>
          <c:showBubbleSize val="0"/>
        </c:dLbls>
        <c:gapWidth val="150"/>
        <c:axId val="52241920"/>
        <c:axId val="52245248"/>
      </c:barChart>
      <c:catAx>
        <c:axId val="52241920"/>
        <c:scaling>
          <c:orientation val="minMax"/>
        </c:scaling>
        <c:delete val="0"/>
        <c:axPos val="b"/>
        <c:title>
          <c:tx>
            <c:rich>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年份</a:t>
                </a:r>
                <a:endParaRPr lang="zh-CN" altLang="en-US"/>
              </a:p>
            </c:rich>
          </c:tx>
          <c:layout>
            <c:manualLayout>
              <c:xMode val="edge"/>
              <c:yMode val="edge"/>
              <c:x val="0.529934011057607"/>
              <c:y val="0.78709655554227"/>
            </c:manualLayout>
          </c:layout>
          <c:overlay val="0"/>
          <c:spPr>
            <a:noFill/>
            <a:ln w="19024">
              <a:noFill/>
            </a:ln>
          </c:spPr>
        </c:title>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2245248"/>
        <c:crosses val="autoZero"/>
        <c:auto val="1"/>
        <c:lblAlgn val="ctr"/>
        <c:lblOffset val="100"/>
        <c:tickLblSkip val="1"/>
        <c:noMultiLvlLbl val="0"/>
      </c:catAx>
      <c:valAx>
        <c:axId val="52245248"/>
        <c:scaling>
          <c:orientation val="minMax"/>
        </c:scaling>
        <c:delete val="0"/>
        <c:axPos val="l"/>
        <c:majorGridlines>
          <c:spPr>
            <a:ln w="2378" cap="flat" cmpd="sng" algn="ctr">
              <a:solidFill>
                <a:srgbClr val="000000"/>
              </a:solidFill>
              <a:prstDash val="solid"/>
              <a:round/>
            </a:ln>
          </c:spPr>
        </c:majorGridlines>
        <c:title>
          <c:tx>
            <c:rich>
              <a:bodyPr rot="-540000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金额</a:t>
                </a:r>
                <a:r>
                  <a:rPr lang="en-US" altLang="zh-CN"/>
                  <a:t>/</a:t>
                </a:r>
                <a:r>
                  <a:rPr lang="zh-CN" altLang="en-US"/>
                  <a:t>万元</a:t>
                </a:r>
                <a:endParaRPr lang="zh-CN" altLang="en-US"/>
              </a:p>
            </c:rich>
          </c:tx>
          <c:layout>
            <c:manualLayout>
              <c:xMode val="edge"/>
              <c:yMode val="edge"/>
              <c:x val="0.0646477617264135"/>
              <c:y val="0.267615184795574"/>
            </c:manualLayout>
          </c:layout>
          <c:overlay val="0"/>
          <c:spPr>
            <a:noFill/>
            <a:ln w="19024">
              <a:noFill/>
            </a:ln>
          </c:spPr>
        </c:title>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2241920"/>
        <c:crosses val="autoZero"/>
        <c:crossBetween val="between"/>
      </c:valAx>
      <c:spPr>
        <a:solidFill>
          <a:srgbClr val="C0C0C0"/>
        </a:solidFill>
        <a:ln w="19024">
          <a:noFill/>
        </a:ln>
      </c:spPr>
    </c:plotArea>
    <c:plotVisOnly val="1"/>
    <c:dispBlanksAs val="gap"/>
    <c:showDLblsOverMax val="0"/>
    <c:extLst>
      <c:ext uri="{0b15fc19-7d7d-44ad-8c2d-2c3a37ce22c3}">
        <chartProps xmlns="https://web.wps.cn/et/2018/main" chartId="{de244820-bb15-45ce-bb14-e01900eedc25}"/>
      </c:ext>
    </c:extLst>
  </c:chart>
  <c:spPr>
    <a:noFill/>
    <a:ln w="6350"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86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t>一般公共预算财政拨款支出决算总体情况图</a:t>
            </a:r>
            <a:endParaRPr lang="zh-CN" altLang="en-US" sz="1000"/>
          </a:p>
        </c:rich>
      </c:tx>
      <c:layout>
        <c:manualLayout>
          <c:xMode val="edge"/>
          <c:yMode val="edge"/>
          <c:x val="0.274339858177898"/>
          <c:y val="0.027722712530432"/>
        </c:manualLayout>
      </c:layout>
      <c:overlay val="0"/>
      <c:spPr>
        <a:noFill/>
        <a:ln w="19021">
          <a:noFill/>
        </a:ln>
      </c:spPr>
    </c:title>
    <c:autoTitleDeleted val="0"/>
    <c:plotArea>
      <c:layout>
        <c:manualLayout>
          <c:layoutTarget val="inner"/>
          <c:xMode val="edge"/>
          <c:yMode val="edge"/>
          <c:x val="0.163758541006526"/>
          <c:y val="0.238991562208355"/>
          <c:w val="0.815734989648033"/>
          <c:h val="0.495689655172414"/>
        </c:manualLayout>
      </c:layout>
      <c:barChart>
        <c:barDir val="col"/>
        <c:grouping val="clustered"/>
        <c:varyColors val="0"/>
        <c:ser>
          <c:idx val="0"/>
          <c:order val="0"/>
          <c:tx>
            <c:strRef>
              <c:f>Sheet1!$A$2</c:f>
              <c:strCache>
                <c:ptCount val="1"/>
                <c:pt idx="0">
                  <c:v/>
                </c:pt>
              </c:strCache>
            </c:strRef>
          </c:tx>
          <c:spPr>
            <a:solidFill>
              <a:srgbClr val="9999FF"/>
            </a:solidFill>
            <a:ln w="9511">
              <a:solidFill>
                <a:srgbClr val="000000"/>
              </a:solidFill>
              <a:prstDash val="solid"/>
            </a:ln>
          </c:spPr>
          <c:invertIfNegative val="0"/>
          <c:dLbls>
            <c:spPr>
              <a:noFill/>
              <a:ln w="19021">
                <a:noFill/>
              </a:ln>
              <a:effectLst/>
            </c:spPr>
            <c:txPr>
              <a:bodyPr rot="0" spcFirstLastPara="0" vertOverflow="ellipsis" vert="horz" wrap="square" lIns="38100" tIns="19050" rIns="38100" bIns="19050" anchor="ctr" anchorCtr="1">
                <a:spAutoFit/>
              </a:bodyPr>
              <a:lstStyle/>
              <a:p>
                <a:pPr>
                  <a:defRPr lang="zh-CN" sz="8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ext>
            </c:extLst>
          </c:dLbls>
          <c:cat>
            <c:numRef>
              <c:f>Sheet1!$B$1:$C$1</c:f>
              <c:numCache>
                <c:formatCode>General</c:formatCode>
                <c:ptCount val="2"/>
                <c:pt idx="0">
                  <c:v>2023</c:v>
                </c:pt>
                <c:pt idx="1">
                  <c:v>2024</c:v>
                </c:pt>
              </c:numCache>
            </c:numRef>
          </c:cat>
          <c:val>
            <c:numRef>
              <c:f>Sheet1!$B$2:$C$2</c:f>
              <c:numCache>
                <c:formatCode>General</c:formatCode>
                <c:ptCount val="2"/>
                <c:pt idx="0">
                  <c:v>4058.4</c:v>
                </c:pt>
                <c:pt idx="1">
                  <c:v>2497.6</c:v>
                </c:pt>
              </c:numCache>
            </c:numRef>
          </c:val>
        </c:ser>
        <c:dLbls>
          <c:showLegendKey val="0"/>
          <c:showVal val="1"/>
          <c:showCatName val="1"/>
          <c:showSerName val="0"/>
          <c:showPercent val="0"/>
          <c:showBubbleSize val="0"/>
        </c:dLbls>
        <c:gapWidth val="150"/>
        <c:axId val="52260864"/>
        <c:axId val="52263936"/>
      </c:barChart>
      <c:catAx>
        <c:axId val="52260864"/>
        <c:scaling>
          <c:orientation val="minMax"/>
        </c:scaling>
        <c:delete val="0"/>
        <c:axPos val="b"/>
        <c:title>
          <c:tx>
            <c:rich>
              <a:bodyPr rot="0" spcFirstLastPara="0" vertOverflow="ellipsis" vert="horz" wrap="square" anchor="ctr" anchorCtr="1"/>
              <a:lstStyle/>
              <a:p>
                <a:pPr>
                  <a:defRPr lang="zh-CN" sz="86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年份</a:t>
                </a:r>
                <a:endParaRPr lang="zh-CN" altLang="en-US"/>
              </a:p>
            </c:rich>
          </c:tx>
          <c:layout>
            <c:manualLayout>
              <c:xMode val="edge"/>
              <c:yMode val="edge"/>
              <c:x val="0.538104813030741"/>
              <c:y val="0.813699125916717"/>
            </c:manualLayout>
          </c:layout>
          <c:overlay val="0"/>
          <c:spPr>
            <a:noFill/>
            <a:ln w="19021">
              <a:noFill/>
            </a:ln>
          </c:spPr>
        </c:title>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8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2263936"/>
        <c:crosses val="autoZero"/>
        <c:auto val="1"/>
        <c:lblAlgn val="ctr"/>
        <c:lblOffset val="100"/>
        <c:tickLblSkip val="1"/>
        <c:noMultiLvlLbl val="0"/>
      </c:catAx>
      <c:valAx>
        <c:axId val="52263936"/>
        <c:scaling>
          <c:orientation val="minMax"/>
        </c:scaling>
        <c:delete val="0"/>
        <c:axPos val="l"/>
        <c:majorGridlines>
          <c:spPr>
            <a:ln w="2378" cap="flat" cmpd="sng" algn="ctr">
              <a:solidFill>
                <a:srgbClr val="000000"/>
              </a:solidFill>
              <a:prstDash val="solid"/>
              <a:round/>
            </a:ln>
          </c:spPr>
        </c:majorGridlines>
        <c:title>
          <c:tx>
            <c:rich>
              <a:bodyPr rot="-5400000" spcFirstLastPara="0" vertOverflow="ellipsis" vert="horz" wrap="square" anchor="ctr" anchorCtr="1"/>
              <a:lstStyle/>
              <a:p>
                <a:pPr>
                  <a:defRPr lang="zh-CN" sz="86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金额</a:t>
                </a:r>
                <a:r>
                  <a:rPr lang="en-US" altLang="zh-CN"/>
                  <a:t>/</a:t>
                </a:r>
                <a:r>
                  <a:rPr lang="zh-CN" altLang="en-US"/>
                  <a:t>万元</a:t>
                </a:r>
                <a:endParaRPr lang="zh-CN" altLang="en-US"/>
              </a:p>
            </c:rich>
          </c:tx>
          <c:layout>
            <c:manualLayout>
              <c:xMode val="edge"/>
              <c:yMode val="edge"/>
              <c:x val="0.0328135043993325"/>
              <c:y val="0.322202342225114"/>
            </c:manualLayout>
          </c:layout>
          <c:overlay val="0"/>
          <c:spPr>
            <a:noFill/>
            <a:ln w="19021">
              <a:noFill/>
            </a:ln>
          </c:spPr>
        </c:title>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8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52260864"/>
        <c:crosses val="autoZero"/>
        <c:crossBetween val="between"/>
      </c:valAx>
      <c:spPr>
        <a:solidFill>
          <a:srgbClr val="C0C0C0"/>
        </a:solidFill>
        <a:ln w="9511">
          <a:solidFill>
            <a:srgbClr val="808080"/>
          </a:solidFill>
          <a:prstDash val="solid"/>
        </a:ln>
      </c:spPr>
    </c:plotArea>
    <c:plotVisOnly val="1"/>
    <c:dispBlanksAs val="gap"/>
    <c:showDLblsOverMax val="0"/>
    <c:extLst>
      <c:ext uri="{0b15fc19-7d7d-44ad-8c2d-2c3a37ce22c3}">
        <chartProps xmlns="https://web.wps.cn/et/2018/main" chartId="{bc90884e-6263-42f2-81fe-de35bf4ced67}"/>
      </c:ext>
    </c:extLst>
  </c:chart>
  <c:spPr>
    <a:noFill/>
    <a:ln w="6350" cap="flat" cmpd="sng" algn="ctr">
      <a:noFill/>
      <a:prstDash val="solid"/>
      <a:round/>
    </a:ln>
  </c:spPr>
  <c:txPr>
    <a:bodyPr/>
    <a:lstStyle/>
    <a:p>
      <a:pPr>
        <a:defRPr lang="zh-CN" sz="86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000"/>
              <a:t>一般公共预算财政拨款支出决算结构图</a:t>
            </a:r>
            <a:endParaRPr lang="zh-CN" altLang="en-US" sz="1000"/>
          </a:p>
        </c:rich>
      </c:tx>
      <c:layout>
        <c:manualLayout>
          <c:xMode val="edge"/>
          <c:yMode val="edge"/>
          <c:x val="0.307519777262178"/>
          <c:y val="0.0441217929117141"/>
        </c:manualLayout>
      </c:layout>
      <c:overlay val="0"/>
      <c:spPr>
        <a:noFill/>
        <a:ln w="19014">
          <a:noFill/>
        </a:ln>
      </c:spPr>
    </c:title>
    <c:autoTitleDeleted val="0"/>
    <c:plotArea>
      <c:layout>
        <c:manualLayout>
          <c:layoutTarget val="inner"/>
          <c:xMode val="edge"/>
          <c:yMode val="edge"/>
          <c:x val="0.192427239333145"/>
          <c:y val="0.269593785156444"/>
          <c:w val="0.323727908418678"/>
          <c:h val="0.533988845441016"/>
        </c:manualLayout>
      </c:layout>
      <c:pieChart>
        <c:varyColors val="1"/>
        <c:ser>
          <c:idx val="0"/>
          <c:order val="0"/>
          <c:tx>
            <c:strRef>
              <c:f>Sheet1!$A$2</c:f>
              <c:strCache>
                <c:ptCount val="1"/>
                <c:pt idx="0">
                  <c:v/>
                </c:pt>
              </c:strCache>
            </c:strRef>
          </c:tx>
          <c:spPr>
            <a:solidFill>
              <a:srgbClr val="9999FF"/>
            </a:solidFill>
            <a:ln w="9507">
              <a:solidFill>
                <a:srgbClr val="000000"/>
              </a:solidFill>
              <a:prstDash val="solid"/>
            </a:ln>
          </c:spPr>
          <c:explosion val="0"/>
          <c:dPt>
            <c:idx val="0"/>
            <c:bubble3D val="0"/>
            <c:spPr>
              <a:solidFill>
                <a:srgbClr val="9999FF"/>
              </a:solidFill>
              <a:ln w="9507">
                <a:solidFill>
                  <a:srgbClr val="000000"/>
                </a:solidFill>
                <a:prstDash val="solid"/>
              </a:ln>
            </c:spPr>
          </c:dPt>
          <c:dPt>
            <c:idx val="1"/>
            <c:bubble3D val="0"/>
            <c:spPr>
              <a:solidFill>
                <a:srgbClr val="993366"/>
              </a:solidFill>
              <a:ln w="9507">
                <a:solidFill>
                  <a:srgbClr val="000000"/>
                </a:solidFill>
                <a:prstDash val="solid"/>
              </a:ln>
            </c:spPr>
          </c:dPt>
          <c:dPt>
            <c:idx val="2"/>
            <c:bubble3D val="0"/>
            <c:spPr>
              <a:solidFill>
                <a:srgbClr val="FFFFCC"/>
              </a:solidFill>
              <a:ln w="9507">
                <a:solidFill>
                  <a:srgbClr val="000000"/>
                </a:solidFill>
                <a:prstDash val="solid"/>
              </a:ln>
            </c:spPr>
          </c:dPt>
          <c:dLbls>
            <c:dLbl>
              <c:idx val="0"/>
              <c:layout>
                <c:manualLayout>
                  <c:x val="-0.0614743422766346"/>
                  <c:y val="-0.00277471243708187"/>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一般公共服务支出, 92%</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99817660849179"/>
                      <c:h val="0.176701570680628"/>
                    </c:manualLayout>
                  </c15:layout>
                </c:ext>
              </c:extLst>
            </c:dLbl>
            <c:dLbl>
              <c:idx val="1"/>
              <c:layout>
                <c:manualLayout>
                  <c:x val="-0.130085301127084"/>
                  <c:y val="0.0360179634110271"/>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社会保障和就业支出, 8%</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54363115394634"/>
                      <c:h val="0.176701570680628"/>
                    </c:manualLayout>
                  </c15:layout>
                </c:ext>
              </c:extLst>
            </c:dLbl>
            <c:dLbl>
              <c:idx val="2"/>
              <c:layout>
                <c:manualLayout>
                  <c:x val="0.213923414041519"/>
                  <c:y val="0.222671354568423"/>
                </c:manualLayout>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t>住房保障支出, 0%</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84943995832248"/>
                      <c:h val="0.291557591623037"/>
                    </c:manualLayout>
                  </c15:layout>
                </c:ext>
              </c:extLst>
            </c:dLbl>
            <c:numFmt formatCode="0%" sourceLinked="0"/>
            <c:spPr>
              <a:noFill/>
              <a:ln w="19014">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一般公共服务支出</c:v>
                </c:pt>
                <c:pt idx="1">
                  <c:v>社会保障和就业支出</c:v>
                </c:pt>
                <c:pt idx="2">
                  <c:v>住房保障支出</c:v>
                </c:pt>
              </c:strCache>
            </c:strRef>
          </c:cat>
          <c:val>
            <c:numRef>
              <c:f>Sheet1!$B$2:$D$2</c:f>
              <c:numCache>
                <c:formatCode>General</c:formatCode>
                <c:ptCount val="3"/>
                <c:pt idx="0">
                  <c:v>2284.9</c:v>
                </c:pt>
                <c:pt idx="1">
                  <c:v>211.1</c:v>
                </c:pt>
                <c:pt idx="2">
                  <c:v>1.6</c:v>
                </c:pt>
              </c:numCache>
            </c:numRef>
          </c:val>
        </c:ser>
        <c:dLbls>
          <c:showLegendKey val="0"/>
          <c:showVal val="1"/>
          <c:showCatName val="0"/>
          <c:showSerName val="0"/>
          <c:showPercent val="1"/>
          <c:showBubbleSize val="0"/>
          <c:showLeaderLines val="1"/>
        </c:dLbls>
        <c:firstSliceAng val="0"/>
      </c:pieChart>
      <c:spPr>
        <a:solidFill>
          <a:srgbClr val="C0C0C0"/>
        </a:solidFill>
        <a:ln w="9507">
          <a:solidFill>
            <a:srgbClr val="808080"/>
          </a:solidFill>
          <a:prstDash val="solid"/>
        </a:ln>
      </c:spPr>
    </c:plotArea>
    <c:legend>
      <c:legendPos val="r"/>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2"/>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manualLayout>
          <c:xMode val="edge"/>
          <c:yMode val="edge"/>
          <c:x val="0.680906486064079"/>
          <c:y val="0.269960732984293"/>
          <c:w val="0.31245115915603"/>
          <c:h val="0.534358638743455"/>
        </c:manualLayout>
      </c:layout>
      <c:overlay val="0"/>
      <c:spPr>
        <a:noFill/>
        <a:ln w="2377">
          <a:solidFill>
            <a:srgbClr val="000000"/>
          </a:solidFill>
          <a:prstDash val="solid"/>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ac18ba5-44c3-4667-bbef-150d2eca512f}"/>
      </c:ext>
    </c:extLst>
  </c:chart>
  <c:spPr>
    <a:noFill/>
    <a:ln w="6350" cap="flat" cmpd="sng" algn="ctr">
      <a:noFill/>
      <a:prstDash val="solid"/>
      <a:round/>
    </a:ln>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45</Words>
  <Characters>52</Characters>
  <Lines>38</Lines>
  <Paragraphs>10</Paragraphs>
  <TotalTime>18</TotalTime>
  <ScaleCrop>false</ScaleCrop>
  <LinksUpToDate>false</LinksUpToDate>
  <CharactersWithSpaces>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喵喵</cp:lastModifiedBy>
  <cp:lastPrinted>2025-08-06T17:34:00Z</cp:lastPrinted>
  <dcterms:modified xsi:type="dcterms:W3CDTF">2025-09-19T08:31:58Z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eyJoZGlkIjoiZGE3OTRmNDFkZmNhN2ZiMGI4ZjVkYThhMWFmOGZlZDYiLCJ1c2VySWQiOiIxMjAxODM1NjE2In0=</vt:lpwstr>
  </property>
</Properties>
</file>